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69CC5">
      <w:pPr>
        <w:spacing w:line="360" w:lineRule="auto"/>
        <w:jc w:val="center"/>
        <w:rPr>
          <w:b/>
          <w:sz w:val="32"/>
        </w:rPr>
      </w:pPr>
      <w:bookmarkStart w:id="34" w:name="_GoBack"/>
      <w:r>
        <w:rPr>
          <w:b/>
          <w:bCs/>
          <w:sz w:val="32"/>
          <w:szCs w:val="24"/>
        </w:rPr>
        <w:t>利用元宇宙平台设计</w:t>
      </w:r>
      <w:r>
        <w:rPr>
          <w:rFonts w:hint="eastAsia"/>
          <w:b/>
          <w:bCs/>
          <w:sz w:val="32"/>
          <w:szCs w:val="24"/>
        </w:rPr>
        <w:t>“</w:t>
      </w:r>
      <w:r>
        <w:rPr>
          <w:b/>
          <w:bCs/>
          <w:sz w:val="32"/>
          <w:szCs w:val="24"/>
        </w:rPr>
        <w:t>在线学习环境/学习空间</w:t>
      </w:r>
      <w:r>
        <w:rPr>
          <w:rFonts w:hint="eastAsia"/>
          <w:b/>
          <w:bCs/>
          <w:sz w:val="32"/>
          <w:szCs w:val="24"/>
        </w:rPr>
        <w:t>”</w:t>
      </w:r>
      <w:r>
        <w:rPr>
          <w:b/>
          <w:bCs/>
          <w:sz w:val="32"/>
          <w:szCs w:val="24"/>
        </w:rPr>
        <w:t>作品解说文档</w:t>
      </w:r>
      <w:bookmarkEnd w:id="34"/>
    </w:p>
    <w:p w14:paraId="350172C8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封面页</w:t>
      </w:r>
      <w:r>
        <w:rPr>
          <w:rFonts w:ascii="MS Gothic" w:hAnsi="MS Gothic" w:eastAsia="MS Gothic" w:cs="MS Gothic"/>
          <w:b/>
          <w:sz w:val="32"/>
        </w:rPr>
        <w:t>​</w:t>
      </w:r>
    </w:p>
    <w:tbl>
      <w:tblPr>
        <w:tblStyle w:val="15"/>
        <w:tblW w:w="512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8756"/>
      </w:tblGrid>
      <w:tr w14:paraId="0AE22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7" w:type="dxa"/>
          </w:tcPr>
          <w:p w14:paraId="33A7F67D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作品名称​</w:t>
            </w:r>
          </w:p>
        </w:tc>
        <w:tc>
          <w:tcPr>
            <w:tcW w:w="8758" w:type="dxa"/>
          </w:tcPr>
          <w:p w14:paraId="538F38F3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共生智慧学习空间（SILS）</w:t>
            </w:r>
          </w:p>
        </w:tc>
      </w:tr>
      <w:tr w14:paraId="4DE78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7" w:type="dxa"/>
          </w:tcPr>
          <w:p w14:paraId="429BA58B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小组信息​</w:t>
            </w:r>
          </w:p>
        </w:tc>
        <w:tc>
          <w:tcPr>
            <w:tcW w:w="8758" w:type="dxa"/>
          </w:tcPr>
          <w:p w14:paraId="46EC3163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 xml:space="preserve">第 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 xml:space="preserve"> 组</w:t>
            </w:r>
          </w:p>
          <w:p w14:paraId="7147869C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组长：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陈银银</w:t>
            </w:r>
          </w:p>
          <w:p w14:paraId="76D3E9D3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组员：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黄洁 王雯雯 胡晓筱</w:t>
            </w:r>
          </w:p>
        </w:tc>
      </w:tr>
      <w:tr w14:paraId="75DAA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7" w:type="dxa"/>
          </w:tcPr>
          <w:p w14:paraId="72C355C5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小组分工</w:t>
            </w:r>
          </w:p>
        </w:tc>
        <w:tc>
          <w:tcPr>
            <w:tcW w:w="8758" w:type="dxa"/>
          </w:tcPr>
          <w:p w14:paraId="16567F13">
            <w:pPr>
              <w:spacing w:before="0" w:after="0" w:line="360" w:lineRule="auto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胡晓筱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  <w:lang w:val="en-US" w:eastAsia="zh-CN"/>
              </w:rPr>
              <w:t>02沉浸式探究区搭建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、视频解说-作品展示、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元宇宙场景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细节搭建、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痛点归纳与测试记录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；</w:t>
            </w:r>
          </w:p>
          <w:p w14:paraId="716EE503">
            <w:pPr>
              <w:spacing w:before="0" w:after="0" w:line="360" w:lineRule="auto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陈银银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  <w:lang w:val="en-US" w:eastAsia="zh-CN"/>
              </w:rPr>
              <w:t>03知识建构协作区域搭建、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负责整体主题定位、空间逻辑设计、用户需求分析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；</w:t>
            </w:r>
          </w:p>
          <w:p w14:paraId="47680685">
            <w:pPr>
              <w:spacing w:before="0" w:after="0" w:line="360" w:lineRule="auto"/>
              <w:rPr>
                <w:rFonts w:hint="eastAsia" w:ascii="宋体" w:hAnsi="宋体" w:eastAsia="宋体" w:cs="宋体"/>
                <w:b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黄 洁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  <w:lang w:val="en-US" w:eastAsia="zh-CN"/>
              </w:rPr>
              <w:t>04AI学习伙伴区域搭建、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负责用户需求分析、区域截图整理与交互说明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痛点归纳与测试记录；</w:t>
            </w:r>
          </w:p>
          <w:p w14:paraId="2A13F222">
            <w:pPr>
              <w:spacing w:before="0" w:after="0" w:line="360" w:lineRule="auto"/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王雯雯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highlight w:val="none"/>
                <w:lang w:val="en-US" w:eastAsia="zh-CN"/>
              </w:rPr>
              <w:t>05学习社区广场搭建、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视频解说-脚本制作，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空间逻辑设计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痛点归纳与测试记录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。</w:t>
            </w:r>
          </w:p>
        </w:tc>
      </w:tr>
      <w:tr w14:paraId="0D506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7" w:type="dxa"/>
          </w:tcPr>
          <w:p w14:paraId="4BCE1547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提交日期​</w:t>
            </w:r>
          </w:p>
        </w:tc>
        <w:tc>
          <w:tcPr>
            <w:tcW w:w="8758" w:type="dxa"/>
          </w:tcPr>
          <w:p w14:paraId="55C02A8A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2026年 6 月 2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 xml:space="preserve"> 日</w:t>
            </w:r>
          </w:p>
        </w:tc>
      </w:tr>
    </w:tbl>
    <w:p w14:paraId="52067890">
      <w:pPr>
        <w:spacing w:line="360" w:lineRule="auto"/>
      </w:pPr>
    </w:p>
    <w:p w14:paraId="067CA634">
      <w:pPr>
        <w:spacing w:line="360" w:lineRule="auto"/>
      </w:pPr>
    </w:p>
    <w:p w14:paraId="4FBC42B5">
      <w:pPr>
        <w:spacing w:line="360" w:lineRule="auto"/>
      </w:pPr>
    </w:p>
    <w:p w14:paraId="3EAF7BDF">
      <w:pPr>
        <w:spacing w:line="360" w:lineRule="auto"/>
      </w:pPr>
    </w:p>
    <w:p w14:paraId="79951237">
      <w:pPr>
        <w:spacing w:line="360" w:lineRule="auto"/>
      </w:pPr>
    </w:p>
    <w:p w14:paraId="335BE5D5">
      <w:pPr>
        <w:spacing w:line="360" w:lineRule="auto"/>
      </w:pPr>
    </w:p>
    <w:p w14:paraId="13052907">
      <w:pPr>
        <w:spacing w:line="360" w:lineRule="auto"/>
      </w:pPr>
    </w:p>
    <w:p w14:paraId="4DA706B0">
      <w:pPr>
        <w:spacing w:line="360" w:lineRule="auto"/>
      </w:pPr>
    </w:p>
    <w:p w14:paraId="0EFFD16E">
      <w:pPr>
        <w:spacing w:line="360" w:lineRule="auto"/>
      </w:pPr>
    </w:p>
    <w:p w14:paraId="2C598C77">
      <w:pPr>
        <w:spacing w:line="360" w:lineRule="auto"/>
      </w:pPr>
    </w:p>
    <w:p w14:paraId="35BB85B5">
      <w:pPr>
        <w:spacing w:line="360" w:lineRule="auto"/>
      </w:pPr>
    </w:p>
    <w:p w14:paraId="3F75DF57">
      <w:pPr>
        <w:spacing w:line="360" w:lineRule="auto"/>
      </w:pPr>
    </w:p>
    <w:p w14:paraId="378D43C5">
      <w:pPr>
        <w:spacing w:line="360" w:lineRule="auto"/>
      </w:pPr>
    </w:p>
    <w:sdt>
      <w:sdtPr>
        <w:id w:val="147467371"/>
        <w:docPartObj>
          <w:docPartGallery w:val="Table of Contents"/>
          <w:docPartUnique/>
        </w:docPartObj>
      </w:sdtPr>
      <w:sdtContent>
        <w:p w14:paraId="38A6992D">
          <w:pPr>
            <w:pStyle w:val="29"/>
            <w:keepNext/>
            <w:keepLines/>
            <w:widowControl/>
            <w:spacing w:before="240" w:after="0" w:line="360" w:lineRule="auto"/>
            <w:jc w:val="left"/>
            <w:rPr>
              <w:rFonts w:asciiTheme="majorHAnsi" w:hAnsiTheme="majorHAnsi" w:eastAsiaTheme="majorEastAsia" w:cstheme="majorBidi"/>
              <w:b w:val="0"/>
              <w:bCs w:val="0"/>
              <w:color w:val="2F5597" w:themeColor="accent1" w:themeShade="BF"/>
              <w:kern w:val="0"/>
              <w:sz w:val="32"/>
              <w:szCs w:val="32"/>
            </w:rPr>
          </w:pPr>
          <w:r>
            <w:rPr>
              <w:rFonts w:asciiTheme="majorHAnsi" w:hAnsiTheme="majorHAnsi" w:cstheme="majorBidi"/>
              <w:b w:val="0"/>
              <w:bCs w:val="0"/>
              <w:color w:val="2F5597" w:themeColor="accent1" w:themeShade="BF"/>
              <w:kern w:val="0"/>
              <w:sz w:val="32"/>
              <w:szCs w:val="32"/>
            </w:rPr>
            <w:t>目录</w:t>
          </w:r>
        </w:p>
        <w:p w14:paraId="6AF8ECC5">
          <w:pPr>
            <w:pStyle w:val="8"/>
            <w:tabs>
              <w:tab w:val="right" w:leader="dot" w:pos="9746"/>
            </w:tabs>
          </w:pPr>
          <w:r>
            <w:fldChar w:fldCharType="begin"/>
          </w:r>
          <w:r>
            <w:rPr>
              <w:rStyle w:val="24"/>
            </w:rPr>
            <w:instrText xml:space="preserve"> TOC \z \o "1-3" \u \h</w:instrText>
          </w:r>
          <w:r>
            <w:rPr>
              <w:rStyle w:val="24"/>
            </w:rPr>
            <w:fldChar w:fldCharType="separate"/>
          </w:r>
          <w:r>
            <w:fldChar w:fldCharType="begin"/>
          </w:r>
          <w:r>
            <w:instrText xml:space="preserve"> HYPERLINK \l _Toc10614 </w:instrText>
          </w:r>
          <w:r>
            <w:fldChar w:fldCharType="separate"/>
          </w:r>
          <w:r>
            <w:t>一、用户需求与痛点分析</w:t>
          </w:r>
          <w:r>
            <w:tab/>
          </w:r>
          <w:r>
            <w:fldChar w:fldCharType="begin"/>
          </w:r>
          <w:r>
            <w:instrText xml:space="preserve"> PAGEREF _Toc10614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AA12CF3">
          <w:pPr>
            <w:pStyle w:val="8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_Toc21285 </w:instrText>
          </w:r>
          <w:r>
            <w:fldChar w:fldCharType="separate"/>
          </w:r>
          <w:r>
            <w:t>二、定义：核心问题与设计方案目标</w:t>
          </w:r>
          <w:r>
            <w:rPr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_Toc21285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A1287DE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_Toc15488 </w:instrText>
          </w:r>
          <w:r>
            <w:fldChar w:fldCharType="separate"/>
          </w:r>
          <w:r>
            <w:t>1.核</w:t>
          </w:r>
          <w:r>
            <w:rPr>
              <w:szCs w:val="24"/>
            </w:rPr>
            <w:t>心问题陈述</w:t>
          </w:r>
          <w:r>
            <w:tab/>
          </w:r>
          <w:r>
            <w:fldChar w:fldCharType="begin"/>
          </w:r>
          <w:r>
            <w:instrText xml:space="preserve"> PAGEREF _Toc15488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8922F4F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_Toc8555 </w:instrText>
          </w:r>
          <w:r>
            <w:fldChar w:fldCharType="separate"/>
          </w:r>
          <w:r>
            <w:t>2.设计目标</w:t>
          </w:r>
          <w:r>
            <w:tab/>
          </w:r>
          <w:r>
            <w:fldChar w:fldCharType="begin"/>
          </w:r>
          <w:r>
            <w:instrText xml:space="preserve"> PAGEREF _Toc8555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EF723B4">
          <w:pPr>
            <w:pStyle w:val="8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_Toc21291 </w:instrText>
          </w:r>
          <w:r>
            <w:fldChar w:fldCharType="separate"/>
          </w:r>
          <w:r>
            <w:t>三、作品构思：设计理念与原型规划</w:t>
          </w:r>
          <w:r>
            <w:rPr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_Toc21291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CD04600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_Toc4628 </w:instrText>
          </w:r>
          <w:r>
            <w:fldChar w:fldCharType="separate"/>
          </w:r>
          <w:r>
            <w:t>1.作品设计草图（可以绘制，或者AI生成）：</w:t>
          </w:r>
          <w:r>
            <w:tab/>
          </w:r>
          <w:r>
            <w:fldChar w:fldCharType="begin"/>
          </w:r>
          <w:r>
            <w:instrText xml:space="preserve"> PAGEREF _Toc4628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A6005AC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_Toc14281 </w:instrText>
          </w:r>
          <w:r>
            <w:fldChar w:fldCharType="separate"/>
          </w:r>
          <w:r>
            <w:t>2.设计理念（3个关键词）：</w:t>
          </w:r>
          <w:r>
            <w:tab/>
          </w:r>
          <w:r>
            <w:fldChar w:fldCharType="begin"/>
          </w:r>
          <w:r>
            <w:instrText xml:space="preserve"> PAGEREF _Toc14281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D428D09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_Toc17038 </w:instrText>
          </w:r>
          <w:r>
            <w:fldChar w:fldCharType="separate"/>
          </w:r>
          <w:r>
            <w:t>3.核心功能模块</w:t>
          </w:r>
          <w:r>
            <w:rPr>
              <w:rFonts w:hint="eastAsia"/>
            </w:rPr>
            <w:t>（不限于以下）</w:t>
          </w:r>
          <w:r>
            <w:t>：</w:t>
          </w:r>
          <w:r>
            <w:tab/>
          </w:r>
          <w:r>
            <w:fldChar w:fldCharType="begin"/>
          </w:r>
          <w:r>
            <w:instrText xml:space="preserve"> PAGEREF _Toc17038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3D61787">
          <w:pPr>
            <w:pStyle w:val="8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_Toc1285 </w:instrText>
          </w:r>
          <w:r>
            <w:fldChar w:fldCharType="separate"/>
          </w:r>
          <w:r>
            <w:t>四、作品原型：数字作品设计特点详解</w:t>
          </w:r>
          <w:r>
            <w:rPr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_Toc1285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F4D4C4D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_Toc20985 </w:instrText>
          </w:r>
          <w:r>
            <w:fldChar w:fldCharType="separate"/>
          </w:r>
          <w:r>
            <w:t>1.空间布局设计</w:t>
          </w:r>
          <w:r>
            <w:rPr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_Toc20985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778DD78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_Toc14337 </w:instrText>
          </w:r>
          <w:r>
            <w:fldChar w:fldCharType="separate"/>
          </w:r>
          <w:r>
            <w:t>2.核心交互设计</w:t>
          </w:r>
          <w:r>
            <w:rPr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_Toc14337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DFBD4D9">
          <w:pPr>
            <w:pStyle w:val="8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_Toc16751 </w:instrText>
          </w:r>
          <w:r>
            <w:fldChar w:fldCharType="separate"/>
          </w:r>
          <w:r>
            <w:t>五、作品测试：与传统环境的对比验证</w:t>
          </w:r>
          <w:r>
            <w:rPr>
              <w:rFonts w:ascii="MS Gothic" w:hAnsi="MS Gothic" w:eastAsia="MS Gothic" w:cs="MS Gothic"/>
            </w:rPr>
            <w:t>​</w:t>
          </w:r>
          <w:r>
            <w:tab/>
          </w:r>
          <w:r>
            <w:fldChar w:fldCharType="begin"/>
          </w:r>
          <w:r>
            <w:instrText xml:space="preserve"> PAGEREF _Toc16751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8404B87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_Toc19455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1.解决的问题（与传统在线学习对比）</w:t>
          </w:r>
          <w:r>
            <w:tab/>
          </w:r>
          <w:r>
            <w:fldChar w:fldCharType="begin"/>
          </w:r>
          <w:r>
            <w:instrText xml:space="preserve"> PAGEREF _Toc19455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9FF3BDA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_Toc27507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2.小组测试过程与结果</w:t>
          </w:r>
          <w:r>
            <w:tab/>
          </w:r>
          <w:r>
            <w:fldChar w:fldCharType="begin"/>
          </w:r>
          <w:r>
            <w:instrText xml:space="preserve"> PAGEREF _Toc27507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5BCC8BB">
          <w:pPr>
            <w:pStyle w:val="8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_Toc29850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>六、作品迭代：局限性与未来优化目标​</w:t>
          </w:r>
          <w:r>
            <w:tab/>
          </w:r>
          <w:r>
            <w:fldChar w:fldCharType="begin"/>
          </w:r>
          <w:r>
            <w:instrText xml:space="preserve"> PAGEREF _Toc29850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08887FC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_Toc29647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1.作品的当前局限性</w:t>
          </w:r>
          <w:r>
            <w:tab/>
          </w:r>
          <w:r>
            <w:fldChar w:fldCharType="begin"/>
          </w:r>
          <w:r>
            <w:instrText xml:space="preserve"> PAGEREF _Toc29647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5791531">
          <w:pPr>
            <w:pStyle w:val="13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_Toc29351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2.未来优化路线图</w:t>
          </w:r>
          <w:r>
            <w:tab/>
          </w:r>
          <w:r>
            <w:fldChar w:fldCharType="begin"/>
          </w:r>
          <w:r>
            <w:instrText xml:space="preserve"> PAGEREF _Toc29351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E3F69C5">
          <w:pPr>
            <w:pStyle w:val="8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_Toc23402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>七、技术赋能：智能体及其他AI工具的应用​</w:t>
          </w:r>
          <w:r>
            <w:tab/>
          </w:r>
          <w:r>
            <w:fldChar w:fldCharType="begin"/>
          </w:r>
          <w:r>
            <w:instrText xml:space="preserve"> PAGEREF _Toc23402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531943C">
          <w:pPr>
            <w:pStyle w:val="8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_Toc8495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>八、附录</w:t>
          </w:r>
          <w:r>
            <w:tab/>
          </w:r>
          <w:r>
            <w:fldChar w:fldCharType="begin"/>
          </w:r>
          <w:r>
            <w:instrText xml:space="preserve"> PAGEREF _Toc8495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68577B2">
          <w:pPr>
            <w:pStyle w:val="8"/>
            <w:tabs>
              <w:tab w:val="right" w:leader="dot" w:pos="9745"/>
            </w:tabs>
            <w:spacing w:line="360" w:lineRule="auto"/>
          </w:pPr>
          <w:r>
            <w:fldChar w:fldCharType="end"/>
          </w:r>
        </w:p>
      </w:sdtContent>
    </w:sdt>
    <w:p w14:paraId="5763E6F6">
      <w:pPr>
        <w:spacing w:line="360" w:lineRule="auto"/>
      </w:pPr>
    </w:p>
    <w:p w14:paraId="0E2A2082">
      <w:pPr>
        <w:spacing w:line="360" w:lineRule="auto"/>
      </w:pPr>
    </w:p>
    <w:p w14:paraId="0D5BC8C9">
      <w:pPr>
        <w:spacing w:line="360" w:lineRule="auto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080" w:bottom="1440" w:left="1080" w:header="851" w:footer="992" w:gutter="0"/>
          <w:pgNumType w:fmt="decimal" w:start="0"/>
          <w:cols w:space="720" w:num="1"/>
          <w:formProt w:val="0"/>
          <w:titlePg/>
          <w:docGrid w:type="lines" w:linePitch="326" w:charSpace="0"/>
        </w:sectPr>
      </w:pPr>
    </w:p>
    <w:p w14:paraId="5033AF32">
      <w:pPr>
        <w:pStyle w:val="2"/>
        <w:spacing w:line="360" w:lineRule="auto"/>
      </w:pPr>
      <w:bookmarkStart w:id="0" w:name="_Toc231849817"/>
      <w:bookmarkStart w:id="1" w:name="_Toc10614"/>
      <w:r>
        <w:t>一、用户需求与痛点分析</w:t>
      </w:r>
      <w:bookmarkEnd w:id="0"/>
      <w:bookmarkEnd w:id="1"/>
    </w:p>
    <w:tbl>
      <w:tblPr>
        <w:tblStyle w:val="15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2351"/>
        <w:gridCol w:w="3195"/>
        <w:gridCol w:w="3287"/>
      </w:tblGrid>
      <w:tr w14:paraId="7EFAB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8" w:type="dxa"/>
          </w:tcPr>
          <w:p w14:paraId="3ED236BF">
            <w:pPr>
              <w:spacing w:before="0" w:after="0" w:line="360" w:lineRule="auto"/>
              <w:rPr>
                <w:sz w:val="21"/>
              </w:rPr>
            </w:pPr>
            <w:r>
              <w:rPr>
                <w:sz w:val="21"/>
              </w:rPr>
              <w:t>用户角色</w:t>
            </w:r>
          </w:p>
        </w:tc>
        <w:tc>
          <w:tcPr>
            <w:tcW w:w="2351" w:type="dxa"/>
          </w:tcPr>
          <w:p w14:paraId="68460332">
            <w:pPr>
              <w:spacing w:before="0" w:after="0" w:line="360" w:lineRule="auto"/>
              <w:rPr>
                <w:sz w:val="21"/>
              </w:rPr>
            </w:pPr>
            <w:r>
              <w:rPr>
                <w:sz w:val="21"/>
              </w:rPr>
              <w:t>场景描述</w:t>
            </w:r>
          </w:p>
        </w:tc>
        <w:tc>
          <w:tcPr>
            <w:tcW w:w="3195" w:type="dxa"/>
          </w:tcPr>
          <w:p w14:paraId="0D0004BD">
            <w:pPr>
              <w:spacing w:before="0" w:after="0" w:line="360" w:lineRule="auto"/>
              <w:rPr>
                <w:sz w:val="21"/>
              </w:rPr>
            </w:pPr>
            <w:r>
              <w:rPr>
                <w:sz w:val="21"/>
              </w:rPr>
              <w:t>遇到的核心痛点（请列举3-5条）</w:t>
            </w:r>
          </w:p>
        </w:tc>
        <w:tc>
          <w:tcPr>
            <w:tcW w:w="3287" w:type="dxa"/>
          </w:tcPr>
          <w:p w14:paraId="0AAAB9E4">
            <w:pPr>
              <w:spacing w:before="0" w:after="0" w:line="360" w:lineRule="auto"/>
              <w:rPr>
                <w:sz w:val="21"/>
              </w:rPr>
            </w:pPr>
            <w:r>
              <w:rPr>
                <w:sz w:val="21"/>
              </w:rPr>
              <w:t>学习环境/学习空间需求</w:t>
            </w:r>
          </w:p>
        </w:tc>
      </w:tr>
      <w:tr w14:paraId="7C8B4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8" w:type="dxa"/>
          </w:tcPr>
          <w:p w14:paraId="6218D036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学生</w:t>
            </w:r>
          </w:p>
        </w:tc>
        <w:tc>
          <w:tcPr>
            <w:tcW w:w="2351" w:type="dxa"/>
          </w:tcPr>
          <w:p w14:paraId="379AA4A0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学生在居家、宿舍或机房中独立进行在线学习，常见流程是观看课程视频、完成平台任务、搜索资料、提交作业。遇到问题时，往往需要等待教师回复，或在多个平台之间切换查找信息。</w:t>
            </w:r>
          </w:p>
        </w:tc>
        <w:tc>
          <w:tcPr>
            <w:tcW w:w="3195" w:type="dxa"/>
          </w:tcPr>
          <w:p w14:paraId="1A2CC6CE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1.缺乏即时互动与反馈，问题不能在学习过程中被及时解决。</w:t>
            </w:r>
          </w:p>
          <w:p w14:paraId="024B34BB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2.社会临场感不足，同伴讨论少，容易感到孤立</w:t>
            </w:r>
            <w:r>
              <w:rPr>
                <w:rStyle w:val="19"/>
                <w:rFonts w:ascii="宋体" w:hAnsi="宋体" w:eastAsia="宋体"/>
                <w:b w:val="0"/>
                <w:sz w:val="21"/>
                <w:szCs w:val="21"/>
              </w:rPr>
              <w:footnoteReference w:id="0"/>
            </w:r>
            <w:r>
              <w:rPr>
                <w:rFonts w:ascii="宋体" w:hAnsi="宋体" w:eastAsia="宋体"/>
                <w:b w:val="0"/>
                <w:sz w:val="21"/>
                <w:szCs w:val="21"/>
              </w:rPr>
              <w:t>。</w:t>
            </w:r>
          </w:p>
          <w:p w14:paraId="2B5593A1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3.学习资源分散，视频、资料、作业和答疑分布在不同平台</w:t>
            </w:r>
            <w:r>
              <w:rPr>
                <w:rStyle w:val="19"/>
                <w:rFonts w:ascii="宋体" w:hAnsi="宋体" w:eastAsia="宋体"/>
                <w:b w:val="0"/>
                <w:sz w:val="21"/>
                <w:szCs w:val="21"/>
              </w:rPr>
              <w:footnoteReference w:id="1"/>
            </w:r>
            <w:r>
              <w:rPr>
                <w:rFonts w:ascii="宋体" w:hAnsi="宋体" w:eastAsia="宋体"/>
                <w:b w:val="0"/>
                <w:sz w:val="21"/>
                <w:szCs w:val="21"/>
              </w:rPr>
              <w:t>。</w:t>
            </w:r>
          </w:p>
          <w:p w14:paraId="42DEE68D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4.难以监控进度与掌握程度，容易出现拖延。</w:t>
            </w:r>
          </w:p>
          <w:p w14:paraId="41A87858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5.学习动力不足，在线学习容易变成“看视频+交作业”</w:t>
            </w:r>
            <w:r>
              <w:rPr>
                <w:rStyle w:val="19"/>
                <w:rFonts w:ascii="宋体" w:hAnsi="宋体" w:eastAsia="宋体"/>
                <w:b w:val="0"/>
                <w:sz w:val="21"/>
                <w:szCs w:val="21"/>
              </w:rPr>
              <w:footnoteReference w:id="2"/>
            </w:r>
            <w:r>
              <w:rPr>
                <w:rFonts w:ascii="宋体" w:hAnsi="宋体" w:eastAsia="宋体"/>
                <w:b w:val="0"/>
                <w:sz w:val="21"/>
                <w:szCs w:val="21"/>
              </w:rPr>
              <w:t>。</w:t>
            </w:r>
          </w:p>
        </w:tc>
        <w:tc>
          <w:tcPr>
            <w:tcW w:w="3287" w:type="dxa"/>
          </w:tcPr>
          <w:p w14:paraId="051DE10A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1.一个能“看得见同伴和教师”的学习空间。</w:t>
            </w:r>
          </w:p>
          <w:p w14:paraId="0FE0F1EE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2.AI导师提供即时答疑、资源推荐和学习路线提醒。</w:t>
            </w:r>
          </w:p>
          <w:p w14:paraId="26617CE9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3.虚拟实验、情境模拟等更具体验感的学习活动。</w:t>
            </w:r>
          </w:p>
          <w:p w14:paraId="616CF8ED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4.学习进度、任务状态和学习成果可视化。</w:t>
            </w:r>
          </w:p>
          <w:p w14:paraId="2045B575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5.成果展示、同伴互评和社群激励来增强持续学习动力。</w:t>
            </w:r>
          </w:p>
        </w:tc>
      </w:tr>
      <w:tr w14:paraId="53FA1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8" w:type="dxa"/>
          </w:tcPr>
          <w:p w14:paraId="3E84244D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教师</w:t>
            </w:r>
          </w:p>
        </w:tc>
        <w:tc>
          <w:tcPr>
            <w:tcW w:w="2351" w:type="dxa"/>
          </w:tcPr>
          <w:p w14:paraId="65C32D5E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教师需要在在线环境中完成导入、授课、组织讨论、答疑、批改、评价和学习干预，还要面对学生基础差异、参与度不一和课堂数据不可见等问题。</w:t>
            </w:r>
          </w:p>
        </w:tc>
        <w:tc>
          <w:tcPr>
            <w:tcW w:w="3195" w:type="dxa"/>
          </w:tcPr>
          <w:p w14:paraId="2B16038E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1.难以及时感知全班学生的理解程度和参与状态。</w:t>
            </w:r>
          </w:p>
          <w:p w14:paraId="44887CB2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2.个性化指导压力大，无法逐一跟进每名学生。</w:t>
            </w:r>
          </w:p>
          <w:p w14:paraId="0153F66F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3.重复性事务多，答疑、批改、资源整理占用时间。</w:t>
            </w:r>
          </w:p>
          <w:p w14:paraId="5BD7F75F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4.在线互动组织难，小组协作过程不易留下痕迹</w:t>
            </w:r>
            <w:r>
              <w:rPr>
                <w:rStyle w:val="19"/>
                <w:rFonts w:ascii="宋体" w:hAnsi="宋体" w:eastAsia="宋体"/>
                <w:b w:val="0"/>
                <w:sz w:val="21"/>
                <w:szCs w:val="21"/>
              </w:rPr>
              <w:footnoteReference w:id="3"/>
            </w:r>
            <w:r>
              <w:rPr>
                <w:rFonts w:ascii="宋体" w:hAnsi="宋体" w:eastAsia="宋体"/>
                <w:b w:val="0"/>
                <w:sz w:val="21"/>
                <w:szCs w:val="21"/>
              </w:rPr>
              <w:t>。</w:t>
            </w:r>
          </w:p>
          <w:p w14:paraId="28A68B2E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5.缺少过程数据，教学改进主要依赖经验判断。</w:t>
            </w:r>
          </w:p>
        </w:tc>
        <w:tc>
          <w:tcPr>
            <w:tcW w:w="3287" w:type="dxa"/>
          </w:tcPr>
          <w:p w14:paraId="5F39C971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1.教师端学习分析看板，呈现进度、参与度和预警信息。</w:t>
            </w:r>
          </w:p>
          <w:p w14:paraId="5192C5CB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2.AI教学助手辅助答疑、批改、资源推送和课堂报告生成。</w:t>
            </w:r>
          </w:p>
          <w:p w14:paraId="15E66F99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3.可组织讨论、展示、协作和即时测验的空间。</w:t>
            </w:r>
          </w:p>
          <w:p w14:paraId="6786F150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4.记录学生协作过程，便于评价小组贡献。</w:t>
            </w:r>
          </w:p>
          <w:p w14:paraId="5C283C47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5.将数据反馈转化为教学调整建议。</w:t>
            </w:r>
          </w:p>
        </w:tc>
      </w:tr>
      <w:tr w14:paraId="57AE4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8" w:type="dxa"/>
          </w:tcPr>
          <w:p w14:paraId="2D604BF6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管理者</w:t>
            </w:r>
          </w:p>
        </w:tc>
        <w:tc>
          <w:tcPr>
            <w:tcW w:w="2351" w:type="dxa"/>
          </w:tcPr>
          <w:p w14:paraId="711CFD05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学校管理者关注课程资源建设、平台运行、教学质量监测、教师培训和资源配置，希望在线学习环境既能支持日常教学，也能沉淀可持续复用的数字资源。</w:t>
            </w:r>
          </w:p>
        </w:tc>
        <w:tc>
          <w:tcPr>
            <w:tcW w:w="3195" w:type="dxa"/>
          </w:tcPr>
          <w:p w14:paraId="3D6A2239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1.教学质量监测缺乏过程数据，难以及时发现课程问题</w:t>
            </w:r>
            <w:r>
              <w:rPr>
                <w:rStyle w:val="19"/>
                <w:rFonts w:ascii="宋体" w:hAnsi="宋体" w:eastAsia="宋体"/>
                <w:b w:val="0"/>
                <w:sz w:val="21"/>
                <w:szCs w:val="21"/>
              </w:rPr>
              <w:footnoteReference w:id="4"/>
            </w:r>
            <w:r>
              <w:rPr>
                <w:rFonts w:ascii="宋体" w:hAnsi="宋体" w:eastAsia="宋体"/>
                <w:b w:val="0"/>
                <w:sz w:val="21"/>
                <w:szCs w:val="21"/>
              </w:rPr>
              <w:t>。</w:t>
            </w:r>
          </w:p>
          <w:p w14:paraId="5093B497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2.资源利用效率不高，实验资源、课程资源和平台数据未充分整合。</w:t>
            </w:r>
          </w:p>
          <w:p w14:paraId="3F968752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3.平台建设与维护成本较高，应用效果不易评估。</w:t>
            </w:r>
          </w:p>
          <w:p w14:paraId="20A0BAD8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4.教师数字化能力不均衡，优秀经验难以迁移。</w:t>
            </w:r>
          </w:p>
          <w:p w14:paraId="4079127A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5.缺少科学决策依据，难以支撑资源配置和课程改进。</w:t>
            </w:r>
          </w:p>
        </w:tc>
        <w:tc>
          <w:tcPr>
            <w:tcW w:w="3287" w:type="dxa"/>
          </w:tcPr>
          <w:p w14:paraId="3B82411A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1.学校级资源与学习数据的统一管理入口。</w:t>
            </w:r>
          </w:p>
          <w:p w14:paraId="71ECC307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2.可视化数据支持教学质量监测和管理决策。</w:t>
            </w:r>
          </w:p>
          <w:p w14:paraId="3663B106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3.可复用的虚拟实验、项目任务和社区活动模板。</w:t>
            </w:r>
          </w:p>
          <w:p w14:paraId="7C7501F2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4.可支持教师培训与示范课建设的空间。</w:t>
            </w:r>
          </w:p>
          <w:p w14:paraId="1BB4CB86">
            <w:pPr>
              <w:spacing w:before="0" w:after="0" w:line="360" w:lineRule="auto"/>
              <w:rPr>
                <w:rFonts w:ascii="宋体" w:hAnsi="宋体" w:eastAsia="宋体"/>
                <w:b w:val="0"/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5.兼顾安全、隐私、权限和可持续运行机制。</w:t>
            </w:r>
          </w:p>
        </w:tc>
      </w:tr>
    </w:tbl>
    <w:p w14:paraId="39FDAC9B">
      <w:pPr>
        <w:spacing w:line="360" w:lineRule="auto"/>
      </w:pPr>
      <w:r>
        <w:rPr>
          <w:b/>
          <w:bCs/>
        </w:rPr>
        <w:t>需求与痛点分析来源</w:t>
      </w:r>
      <w:r>
        <w:t xml:space="preserve">：□问卷 </w:t>
      </w:r>
      <w:r>
        <w:rPr>
          <w:lang w:eastAsia="zh-CN"/>
        </w:rPr>
        <w:t>☑</w:t>
      </w:r>
      <w:r>
        <w:t xml:space="preserve">访谈 </w:t>
      </w:r>
      <w:r>
        <w:rPr>
          <w:lang w:eastAsia="zh-CN"/>
        </w:rPr>
        <w:t>☑</w:t>
      </w:r>
      <w:r>
        <w:t xml:space="preserve">文献研究 □竞品分析 </w:t>
      </w:r>
      <w:r>
        <w:rPr>
          <w:lang w:eastAsia="zh-CN"/>
        </w:rPr>
        <w:t>☑</w:t>
      </w:r>
      <w:r>
        <w:t>自身作为用户的真实感受</w:t>
      </w:r>
    </w:p>
    <w:p w14:paraId="23101579">
      <w:pPr>
        <w:spacing w:line="360" w:lineRule="auto"/>
      </w:pPr>
    </w:p>
    <w:p w14:paraId="33592CA1">
      <w:pPr>
        <w:pStyle w:val="2"/>
        <w:spacing w:line="360" w:lineRule="auto"/>
      </w:pPr>
      <w:bookmarkStart w:id="2" w:name="_Toc231849818"/>
      <w:bookmarkStart w:id="3" w:name="_Toc21285"/>
      <w:r>
        <w:t>二、定义：核心问题与设计方案目标</w:t>
      </w:r>
      <w:r>
        <w:rPr>
          <w:rFonts w:ascii="MS Gothic" w:hAnsi="MS Gothic" w:eastAsia="MS Gothic" w:cs="MS Gothic"/>
        </w:rPr>
        <w:t>​</w:t>
      </w:r>
      <w:bookmarkEnd w:id="2"/>
      <w:bookmarkEnd w:id="3"/>
      <w:r>
        <w:t xml:space="preserve"> </w:t>
      </w:r>
    </w:p>
    <w:p w14:paraId="72E7EDDC">
      <w:pPr>
        <w:pStyle w:val="3"/>
        <w:spacing w:before="163" w:after="163" w:line="360" w:lineRule="auto"/>
        <w:rPr>
          <w:sz w:val="24"/>
          <w:szCs w:val="24"/>
        </w:rPr>
      </w:pPr>
      <w:bookmarkStart w:id="4" w:name="_Toc231849819"/>
      <w:bookmarkStart w:id="5" w:name="_Toc15488"/>
      <w:r>
        <w:t>1.核</w:t>
      </w:r>
      <w:r>
        <w:rPr>
          <w:sz w:val="24"/>
          <w:szCs w:val="24"/>
        </w:rPr>
        <w:t>心问题陈述</w:t>
      </w:r>
      <w:bookmarkEnd w:id="4"/>
      <w:bookmarkEnd w:id="5"/>
    </w:p>
    <w:p w14:paraId="3BE0BCE2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ind w:firstLine="480"/>
        <w:textAlignment w:val="auto"/>
        <w:rPr>
          <w:sz w:val="24"/>
          <w:szCs w:val="24"/>
        </w:rPr>
      </w:pPr>
      <w:bookmarkStart w:id="6" w:name="_Toc231849820"/>
      <w:r>
        <w:rPr>
          <w:rFonts w:ascii="宋体" w:hAnsi="宋体" w:eastAsia="宋体"/>
          <w:sz w:val="24"/>
          <w:szCs w:val="24"/>
        </w:rPr>
        <w:t>本项目构建的“共生智慧学习空间（SILS）”面向在线学习中</w:t>
      </w:r>
      <w:r>
        <w:rPr>
          <w:rFonts w:ascii="宋体" w:hAnsi="宋体" w:eastAsia="宋体"/>
          <w:b/>
          <w:bCs/>
          <w:sz w:val="24"/>
          <w:szCs w:val="24"/>
        </w:rPr>
        <w:t>互动弱、反馈慢、资源散、体验浅</w:t>
      </w:r>
      <w:r>
        <w:rPr>
          <w:rFonts w:ascii="宋体" w:hAnsi="宋体" w:eastAsia="宋体"/>
          <w:sz w:val="24"/>
          <w:szCs w:val="24"/>
        </w:rPr>
        <w:t>和学习共同体不足等问题，</w:t>
      </w:r>
      <w:r>
        <w:rPr>
          <w:rFonts w:hint="eastAsia" w:ascii="宋体" w:hAnsi="宋体"/>
          <w:sz w:val="24"/>
          <w:szCs w:val="24"/>
          <w:lang w:val="en-US" w:eastAsia="zh-CN"/>
        </w:rPr>
        <w:t>我们的</w:t>
      </w:r>
      <w:r>
        <w:rPr>
          <w:rFonts w:ascii="宋体" w:hAnsi="宋体" w:eastAsia="宋体"/>
          <w:sz w:val="24"/>
          <w:szCs w:val="24"/>
        </w:rPr>
        <w:t>元宇宙空间结构</w:t>
      </w:r>
      <w:r>
        <w:rPr>
          <w:rFonts w:hint="eastAsia" w:ascii="宋体" w:hAnsi="宋体"/>
          <w:sz w:val="24"/>
          <w:szCs w:val="24"/>
          <w:lang w:val="en-US" w:eastAsia="zh-CN"/>
        </w:rPr>
        <w:t>供有五个组成部分</w:t>
      </w:r>
      <w:r>
        <w:rPr>
          <w:rFonts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  <w:highlight w:val="yellow"/>
        </w:rPr>
        <w:t>中央广场作为入口与导航中心</w:t>
      </w:r>
      <w:r>
        <w:rPr>
          <w:rFonts w:ascii="宋体" w:hAnsi="宋体" w:eastAsia="宋体"/>
          <w:sz w:val="24"/>
          <w:szCs w:val="24"/>
        </w:rPr>
        <w:t>，承担空间导览、任务发布、区域传送和社交集合功能；</w:t>
      </w:r>
      <w:r>
        <w:rPr>
          <w:rFonts w:ascii="宋体" w:hAnsi="宋体" w:eastAsia="宋体"/>
          <w:sz w:val="24"/>
          <w:szCs w:val="24"/>
          <w:highlight w:val="yellow"/>
        </w:rPr>
        <w:t>沉浸式探究区</w:t>
      </w:r>
      <w:r>
        <w:rPr>
          <w:rFonts w:ascii="宋体" w:hAnsi="宋体" w:eastAsia="宋体"/>
          <w:sz w:val="24"/>
          <w:szCs w:val="24"/>
        </w:rPr>
        <w:t>通过虚拟实验、情境模拟、跨学科项目和科学模型展示，让学生在可操作、可观察、可重复的环境中完成探究任务；</w:t>
      </w:r>
      <w:r>
        <w:rPr>
          <w:rFonts w:ascii="宋体" w:hAnsi="宋体" w:eastAsia="宋体"/>
          <w:sz w:val="24"/>
          <w:szCs w:val="24"/>
          <w:highlight w:val="yellow"/>
        </w:rPr>
        <w:t>知识建构协作区</w:t>
      </w:r>
      <w:r>
        <w:rPr>
          <w:rFonts w:ascii="宋体" w:hAnsi="宋体" w:eastAsia="宋体"/>
          <w:sz w:val="24"/>
          <w:szCs w:val="24"/>
        </w:rPr>
        <w:t>以共享白板、知识墙、问题板和小组桌面为核心，支持学生把零散观点转化为可视化的知识结构；</w:t>
      </w:r>
      <w:r>
        <w:rPr>
          <w:rFonts w:ascii="宋体" w:hAnsi="宋体" w:eastAsia="宋体"/>
          <w:sz w:val="24"/>
          <w:szCs w:val="24"/>
          <w:highlight w:val="yellow"/>
        </w:rPr>
        <w:t>AI学习伙伴区</w:t>
      </w:r>
      <w:r>
        <w:rPr>
          <w:rFonts w:ascii="宋体" w:hAnsi="宋体" w:eastAsia="宋体"/>
          <w:sz w:val="24"/>
          <w:szCs w:val="24"/>
        </w:rPr>
        <w:t>通过AI导师、学习画像、智能反馈和资源推荐，为学生提供即时支持，也为教师提供共性问题诊断；</w:t>
      </w:r>
      <w:r>
        <w:rPr>
          <w:rFonts w:ascii="宋体" w:hAnsi="宋体" w:eastAsia="宋体"/>
          <w:sz w:val="24"/>
          <w:szCs w:val="24"/>
          <w:highlight w:val="yellow"/>
        </w:rPr>
        <w:t>学习社区广场</w:t>
      </w:r>
      <w:r>
        <w:rPr>
          <w:rFonts w:ascii="宋体" w:hAnsi="宋体" w:eastAsia="宋体"/>
          <w:sz w:val="24"/>
          <w:szCs w:val="24"/>
        </w:rPr>
        <w:t>则用于成果展示、同伴互评、经验分享和社群活动，延伸课堂后的持续交流。五个空间共同形成</w:t>
      </w:r>
      <w:r>
        <w:rPr>
          <w:rFonts w:ascii="宋体" w:hAnsi="宋体" w:eastAsia="宋体"/>
          <w:b/>
          <w:bCs/>
          <w:sz w:val="24"/>
          <w:szCs w:val="24"/>
        </w:rPr>
        <w:t>“进入空间—明确任务—沉浸探究—协作建构—智能反馈—成果展示”</w:t>
      </w:r>
      <w:r>
        <w:rPr>
          <w:rFonts w:ascii="宋体" w:hAnsi="宋体" w:eastAsia="宋体"/>
          <w:sz w:val="24"/>
          <w:szCs w:val="24"/>
        </w:rPr>
        <w:t>的学习闭环，体现学生、教师、AI与学习环境之间的共生协同。</w:t>
      </w:r>
    </w:p>
    <w:p w14:paraId="072E639F">
      <w:pPr>
        <w:pStyle w:val="3"/>
        <w:spacing w:before="163" w:after="163" w:line="360" w:lineRule="auto"/>
      </w:pPr>
      <w:bookmarkStart w:id="7" w:name="_Toc8555"/>
      <w:r>
        <w:t>2.设计目标</w:t>
      </w:r>
      <w:bookmarkEnd w:id="6"/>
      <w:bookmarkEnd w:id="7"/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8515"/>
      </w:tblGrid>
      <w:tr w14:paraId="69254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5" w:type="dxa"/>
          </w:tcPr>
          <w:p w14:paraId="1C9B4D05">
            <w:pPr>
              <w:spacing w:before="0" w:after="0" w:line="360" w:lineRule="auto"/>
              <w:rPr>
                <w:sz w:val="21"/>
              </w:rPr>
            </w:pPr>
            <w:r>
              <w:rPr>
                <w:sz w:val="21"/>
              </w:rPr>
              <w:t>维度</w:t>
            </w:r>
          </w:p>
        </w:tc>
        <w:tc>
          <w:tcPr>
            <w:tcW w:w="8330" w:type="dxa"/>
          </w:tcPr>
          <w:p w14:paraId="3FD4B34B">
            <w:pPr>
              <w:spacing w:before="0" w:after="0" w:line="360" w:lineRule="auto"/>
              <w:rPr>
                <w:sz w:val="21"/>
              </w:rPr>
            </w:pPr>
            <w:r>
              <w:rPr>
                <w:sz w:val="21"/>
              </w:rPr>
              <w:t>具体目标</w:t>
            </w:r>
          </w:p>
        </w:tc>
      </w:tr>
      <w:tr w14:paraId="68276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5" w:type="dxa"/>
          </w:tcPr>
          <w:p w14:paraId="6D4AF0F3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功能目标</w:t>
            </w:r>
          </w:p>
        </w:tc>
        <w:tc>
          <w:tcPr>
            <w:tcW w:w="8330" w:type="dxa"/>
          </w:tcPr>
          <w:p w14:paraId="46EC22C5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1.支持学生、教师和管理者以不同角色进入空间，并通过中央广场完成区域导航。</w:t>
            </w:r>
          </w:p>
          <w:p w14:paraId="129CBDC0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2.沉浸式探究、协作建构、AI辅学和社区交流四类核心学习活动。</w:t>
            </w:r>
          </w:p>
          <w:p w14:paraId="008B43BF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3.语音/文字交流、区域传送、学习任务提示、成果展示、同伴评价和学习数据记录。</w:t>
            </w:r>
          </w:p>
          <w:p w14:paraId="053C32E8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4.支持教师发布任务、查看学生学习过程、整理共性问题并进行针对性反馈。</w:t>
            </w:r>
          </w:p>
          <w:p w14:paraId="767C739C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5.支持管理者查看资源使用、课程运行和学习参与情况。</w:t>
            </w:r>
          </w:p>
        </w:tc>
      </w:tr>
      <w:tr w14:paraId="6820B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5" w:type="dxa"/>
          </w:tcPr>
          <w:p w14:paraId="0B2D750F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体验目标</w:t>
            </w:r>
          </w:p>
        </w:tc>
        <w:tc>
          <w:tcPr>
            <w:tcW w:w="8330" w:type="dxa"/>
          </w:tcPr>
          <w:p w14:paraId="056E7EAD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1.新用户能在5分钟内理解中央广场与四大区域的关系，并完成一次区域切换。</w:t>
            </w:r>
          </w:p>
          <w:p w14:paraId="60D9CFE4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2.通过颜色分区、标识牌、传送门和任务提示降低操作门槛。</w:t>
            </w:r>
          </w:p>
          <w:p w14:paraId="24CAF87C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3.让学习者在空间中感受到“有人一起学、有人能帮助、成果能被看见”。</w:t>
            </w:r>
          </w:p>
          <w:p w14:paraId="062C6283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4.平台交互尽量贴近真实学习动作，如进入实验区、围坐讨论、查看看板、发布成果。</w:t>
            </w:r>
          </w:p>
          <w:p w14:paraId="3F3BBBA6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5.减少跨平台切换，让学习任务、资源、反馈和展示集中在同一空间内。</w:t>
            </w:r>
          </w:p>
        </w:tc>
      </w:tr>
      <w:tr w14:paraId="306E7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5" w:type="dxa"/>
          </w:tcPr>
          <w:p w14:paraId="34F0F24A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教学目标</w:t>
            </w:r>
          </w:p>
        </w:tc>
        <w:tc>
          <w:tcPr>
            <w:tcW w:w="8330" w:type="dxa"/>
          </w:tcPr>
          <w:p w14:paraId="38B3DB17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1.沉浸任务提升学生对抽象知识的理解和情境迁移能力。</w:t>
            </w:r>
          </w:p>
          <w:p w14:paraId="24B8209A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2.协作白板和知识墙提高学生讨论质量与知识结构化能力。</w:t>
            </w:r>
          </w:p>
          <w:p w14:paraId="70030D00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3.AI学习伙伴提升答疑及时性和个性化支持水平。</w:t>
            </w:r>
          </w:p>
          <w:p w14:paraId="027DE5FA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4.社区展示和同伴互评增强学习投入、成就感和归属感。</w:t>
            </w:r>
          </w:p>
          <w:p w14:paraId="6C752C7C">
            <w:pPr>
              <w:spacing w:before="0" w:after="0" w:line="360" w:lineRule="auto"/>
              <w:rPr>
                <w:sz w:val="21"/>
                <w:szCs w:val="21"/>
              </w:rPr>
            </w:pPr>
            <w:r>
              <w:rPr>
                <w:rFonts w:ascii="宋体" w:hAnsi="宋体" w:eastAsia="宋体"/>
                <w:b w:val="0"/>
                <w:sz w:val="21"/>
                <w:szCs w:val="21"/>
              </w:rPr>
              <w:t>5.数据看板帮助教师发现学习困难、优化教学设计、开展分层指导。</w:t>
            </w:r>
          </w:p>
        </w:tc>
      </w:tr>
    </w:tbl>
    <w:p w14:paraId="49163929">
      <w:pPr>
        <w:spacing w:line="360" w:lineRule="auto"/>
      </w:pPr>
    </w:p>
    <w:p w14:paraId="4D55E8CA">
      <w:pPr>
        <w:pStyle w:val="2"/>
        <w:spacing w:line="360" w:lineRule="auto"/>
      </w:pPr>
      <w:bookmarkStart w:id="8" w:name="_Toc231849821"/>
      <w:bookmarkStart w:id="9" w:name="_Toc21291"/>
      <w:r>
        <w:t>三、作品构思：设计理念与原型规划</w:t>
      </w:r>
      <w:r>
        <w:rPr>
          <w:rFonts w:ascii="MS Gothic" w:hAnsi="MS Gothic" w:eastAsia="MS Gothic" w:cs="MS Gothic"/>
        </w:rPr>
        <w:t>​</w:t>
      </w:r>
      <w:bookmarkEnd w:id="8"/>
      <w:bookmarkEnd w:id="9"/>
      <w:r>
        <w:t xml:space="preserve"> </w:t>
      </w:r>
    </w:p>
    <w:p w14:paraId="7CD38097">
      <w:pPr>
        <w:pStyle w:val="3"/>
        <w:spacing w:before="163" w:after="163" w:line="360" w:lineRule="auto"/>
      </w:pPr>
      <w:bookmarkStart w:id="10" w:name="_Toc231849822"/>
      <w:bookmarkStart w:id="11" w:name="_Toc4628"/>
      <w:r>
        <w:t>1.作品设计草图</w:t>
      </w:r>
      <w:r>
        <w:rPr>
          <w:rStyle w:val="24"/>
        </w:rPr>
        <w:t>（可以绘制，或者AI生成）</w:t>
      </w:r>
      <w:r>
        <w:t>：</w:t>
      </w:r>
      <w:bookmarkEnd w:id="10"/>
      <w:bookmarkEnd w:id="11"/>
    </w:p>
    <w:p w14:paraId="5271DB29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ind w:firstLine="48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本作品草图基于“学习者从中央广场出发，按学习任务进入不同区域”的路径进行规划，并借助AI生成工具和元宇宙平台素材库完成概念图、标识牌和区域布局参考。草图不是单纯追求视觉丰富，而是服务于功能逻辑：</w:t>
      </w:r>
      <w:r>
        <w:rPr>
          <w:rFonts w:ascii="宋体" w:hAnsi="宋体" w:eastAsia="宋体"/>
          <w:b/>
          <w:bCs/>
          <w:sz w:val="24"/>
          <w:szCs w:val="24"/>
        </w:rPr>
        <w:t>蓝色区域突出实验探究，紫色区域突出协作建构，绿色区域突出AI辅学，橙色区域突出社区交流；</w:t>
      </w:r>
      <w:r>
        <w:rPr>
          <w:rFonts w:ascii="宋体" w:hAnsi="宋体" w:eastAsia="宋体"/>
          <w:sz w:val="24"/>
          <w:szCs w:val="24"/>
        </w:rPr>
        <w:t>不同颜色与传送路径共同帮助学习者快速理解空间结构。</w:t>
      </w:r>
    </w:p>
    <w:p w14:paraId="41FBF7DE"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 w14:paraId="1CAF377C">
      <w:pPr>
        <w:spacing w:line="360" w:lineRule="auto"/>
        <w:jc w:val="center"/>
      </w:pPr>
      <w:r>
        <w:rPr>
          <w:rFonts w:eastAsia="宋体"/>
          <w:lang w:eastAsia="zh-CN"/>
        </w:rPr>
        <w:drawing>
          <wp:inline distT="0" distB="0" distL="114300" distR="114300">
            <wp:extent cx="3551555" cy="2261870"/>
            <wp:effectExtent l="0" t="0" r="4445" b="11430"/>
            <wp:docPr id="9" name="图片 9" descr="d2841b993fdb523b3caaba8275f2a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2841b993fdb523b3caaba8275f2ac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Toc231849823"/>
    </w:p>
    <w:p w14:paraId="10634451">
      <w:pPr>
        <w:pStyle w:val="3"/>
        <w:spacing w:before="163" w:after="163" w:line="360" w:lineRule="auto"/>
      </w:pPr>
      <w:bookmarkStart w:id="13" w:name="_Toc14281"/>
      <w:r>
        <w:t>2.设计理念（3个关键词）：</w:t>
      </w:r>
      <w:bookmarkEnd w:id="12"/>
      <w:bookmarkEnd w:id="13"/>
    </w:p>
    <w:p w14:paraId="18BFEC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FF0000"/>
          <w:sz w:val="24"/>
          <w:szCs w:val="24"/>
        </w:rPr>
        <w:t>共生智慧：</w:t>
      </w:r>
      <w:r>
        <w:rPr>
          <w:rFonts w:ascii="宋体" w:hAnsi="宋体" w:eastAsia="宋体"/>
          <w:sz w:val="24"/>
          <w:szCs w:val="24"/>
        </w:rPr>
        <w:t>强调学生、教师、AI学习伙伴与平台数据之间相互支持，学生获得即时反馈，教师获得教学洞察，AI根据学习过程持续提供辅助。</w:t>
      </w:r>
    </w:p>
    <w:p w14:paraId="26D226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FF0000"/>
          <w:sz w:val="24"/>
          <w:szCs w:val="24"/>
        </w:rPr>
        <w:t>沉浸式探究：</w:t>
      </w:r>
      <w:r>
        <w:rPr>
          <w:rFonts w:ascii="宋体" w:hAnsi="宋体" w:eastAsia="宋体"/>
          <w:sz w:val="24"/>
          <w:szCs w:val="24"/>
        </w:rPr>
        <w:t>通过虚拟实验、情境任务、模型观察和数据大屏，把抽象知识转化为可观察、可操作、可讨论的学习经验。</w:t>
      </w:r>
    </w:p>
    <w:p w14:paraId="21B23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rFonts w:eastAsia="宋体"/>
          <w:sz w:val="24"/>
          <w:szCs w:val="24"/>
          <w:lang w:val="en-US" w:eastAsia="zh-CN"/>
        </w:rPr>
      </w:pPr>
      <w:r>
        <w:rPr>
          <w:rFonts w:ascii="宋体" w:hAnsi="宋体" w:eastAsia="宋体"/>
          <w:color w:val="FF0000"/>
          <w:sz w:val="24"/>
          <w:szCs w:val="24"/>
        </w:rPr>
        <w:t>知识建构：</w:t>
      </w:r>
      <w:r>
        <w:rPr>
          <w:rFonts w:ascii="宋体" w:hAnsi="宋体" w:eastAsia="宋体"/>
          <w:sz w:val="24"/>
          <w:szCs w:val="24"/>
        </w:rPr>
        <w:t>鼓励学习者在问题讨论、观点碰撞、协作白板和成果展示中共同生成知识，而不是只被动接收内容。</w:t>
      </w:r>
    </w:p>
    <w:p w14:paraId="2475BF2D">
      <w:pPr>
        <w:pStyle w:val="3"/>
        <w:spacing w:before="163" w:after="163" w:line="360" w:lineRule="auto"/>
      </w:pPr>
      <w:bookmarkStart w:id="14" w:name="_Toc17038"/>
      <w:r>
        <w:t>3.核心功能模块</w:t>
      </w:r>
      <w:r>
        <w:rPr>
          <w:rFonts w:hint="eastAsia"/>
        </w:rPr>
        <w:t>（不限于以下）</w:t>
      </w:r>
      <w:r>
        <w:t>：</w:t>
      </w:r>
      <w:bookmarkEnd w:id="14"/>
    </w:p>
    <w:p w14:paraId="5433DB6B">
      <w:pPr>
        <w:pStyle w:val="27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  <w:lang w:eastAsia="zh-CN"/>
        </w:rPr>
        <w:t>☑</w:t>
      </w:r>
      <w:r>
        <w:t xml:space="preserve"> 虚拟教室（授课/听讲）</w:t>
      </w:r>
    </w:p>
    <w:p w14:paraId="647568F1">
      <w:pPr>
        <w:pStyle w:val="27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  <w:lang w:eastAsia="zh-CN"/>
        </w:rPr>
        <w:t>☑</w:t>
      </w:r>
      <w:r>
        <w:t xml:space="preserve"> 虚拟实验室（实操/模拟）</w:t>
      </w:r>
    </w:p>
    <w:p w14:paraId="0747D3ED">
      <w:pPr>
        <w:pStyle w:val="27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  <w:lang w:eastAsia="zh-CN"/>
        </w:rPr>
        <w:t>☑</w:t>
      </w:r>
      <w:r>
        <w:t xml:space="preserve"> 协作讨论区（小组任务）</w:t>
      </w:r>
    </w:p>
    <w:p w14:paraId="6999CD90">
      <w:pPr>
        <w:pStyle w:val="27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  <w:lang w:eastAsia="zh-CN"/>
        </w:rPr>
        <w:t>☑</w:t>
      </w:r>
      <w:r>
        <w:t xml:space="preserve"> 个人学习空间（自习/资源库）</w:t>
      </w:r>
    </w:p>
    <w:p w14:paraId="4C6FFC6E">
      <w:pPr>
        <w:pStyle w:val="27"/>
        <w:numPr>
          <w:ilvl w:val="0"/>
          <w:numId w:val="1"/>
        </w:numPr>
        <w:spacing w:line="360" w:lineRule="auto"/>
        <w:ind w:firstLineChars="0"/>
        <w:rPr>
          <w:u w:val="single"/>
        </w:rPr>
      </w:pPr>
      <w:r>
        <w:rPr>
          <w:rFonts w:hint="eastAsia"/>
          <w:lang w:eastAsia="zh-CN"/>
        </w:rPr>
        <w:t>☑</w:t>
      </w:r>
      <w:r>
        <w:t xml:space="preserve"> 其他：</w:t>
      </w:r>
      <w:r>
        <w:rPr>
          <w:u w:val="single"/>
        </w:rPr>
        <w:t>_</w:t>
      </w:r>
      <w:r>
        <w:rPr>
          <w:rFonts w:hint="eastAsia"/>
          <w:u w:val="single"/>
          <w:lang w:val="en-US" w:eastAsia="zh-CN"/>
        </w:rPr>
        <w:t>中央导航广场</w:t>
      </w:r>
      <w:r>
        <w:rPr>
          <w:u w:val="single"/>
        </w:rPr>
        <w:t>_</w:t>
      </w:r>
      <w:r>
        <w:rPr>
          <w:rFonts w:hint="eastAsia"/>
          <w:u w:val="single"/>
          <w:lang w:eastAsia="zh-CN"/>
        </w:rPr>
        <w:t>、</w:t>
      </w:r>
      <w:r>
        <w:rPr>
          <w:u w:val="single"/>
        </w:rPr>
        <w:t>__</w:t>
      </w:r>
      <w:r>
        <w:rPr>
          <w:rFonts w:hint="eastAsia"/>
          <w:u w:val="single"/>
        </w:rPr>
        <w:t>AI学习伙伴区、学习社区广场、成果展示墙、社区活动发布区。</w:t>
      </w:r>
    </w:p>
    <w:p w14:paraId="64B2A603">
      <w:pPr>
        <w:spacing w:line="360" w:lineRule="auto"/>
      </w:pPr>
    </w:p>
    <w:p w14:paraId="0AF39C16">
      <w:pPr>
        <w:pStyle w:val="2"/>
        <w:spacing w:line="360" w:lineRule="auto"/>
      </w:pPr>
      <w:bookmarkStart w:id="15" w:name="_Toc231849825"/>
      <w:bookmarkStart w:id="16" w:name="_Toc1285"/>
      <w:r>
        <w:t>四、作品原型：数字作品设计特点详解</w:t>
      </w:r>
      <w:r>
        <w:rPr>
          <w:rFonts w:ascii="MS Gothic" w:hAnsi="MS Gothic" w:eastAsia="MS Gothic" w:cs="MS Gothic"/>
        </w:rPr>
        <w:t>​</w:t>
      </w:r>
      <w:bookmarkEnd w:id="15"/>
      <w:bookmarkEnd w:id="16"/>
      <w:r>
        <w:t xml:space="preserve"> </w:t>
      </w:r>
    </w:p>
    <w:p w14:paraId="0428B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b/>
          <w:color w:val="C00000"/>
          <w:sz w:val="24"/>
          <w:szCs w:val="24"/>
          <w:shd w:val="pct15" w:color="auto" w:fill="FFFFFF"/>
        </w:rPr>
      </w:pPr>
      <w:r>
        <w:rPr>
          <w:rFonts w:ascii="宋体" w:hAnsi="宋体" w:eastAsia="宋体"/>
          <w:sz w:val="24"/>
          <w:szCs w:val="24"/>
        </w:rPr>
        <w:t>本部分结合作品截图，对SILS的空间布局、区域功能和关键交互设计进行说明，重点突出各区域如何服务于不同学习阶段：中央广场用于进入与导航，沉浸式探究区用于</w:t>
      </w:r>
      <w:r>
        <w:rPr>
          <w:rFonts w:ascii="宋体" w:hAnsi="宋体" w:eastAsia="宋体"/>
          <w:sz w:val="24"/>
          <w:szCs w:val="24"/>
          <w:highlight w:val="yellow"/>
        </w:rPr>
        <w:t>经验获得</w:t>
      </w:r>
      <w:r>
        <w:rPr>
          <w:rFonts w:ascii="宋体" w:hAnsi="宋体" w:eastAsia="宋体"/>
          <w:sz w:val="24"/>
          <w:szCs w:val="24"/>
        </w:rPr>
        <w:t>，知识建构协作区用于</w:t>
      </w:r>
      <w:r>
        <w:rPr>
          <w:rFonts w:ascii="宋体" w:hAnsi="宋体" w:eastAsia="宋体"/>
          <w:sz w:val="24"/>
          <w:szCs w:val="24"/>
          <w:highlight w:val="yellow"/>
        </w:rPr>
        <w:t>意义协商</w:t>
      </w:r>
      <w:r>
        <w:rPr>
          <w:rFonts w:ascii="宋体" w:hAnsi="宋体" w:eastAsia="宋体"/>
          <w:sz w:val="24"/>
          <w:szCs w:val="24"/>
        </w:rPr>
        <w:t>，AI学习伙伴区用于</w:t>
      </w:r>
      <w:r>
        <w:rPr>
          <w:rFonts w:ascii="宋体" w:hAnsi="宋体" w:eastAsia="宋体"/>
          <w:sz w:val="24"/>
          <w:szCs w:val="24"/>
          <w:highlight w:val="yellow"/>
        </w:rPr>
        <w:t>个性化支持</w:t>
      </w:r>
      <w:r>
        <w:rPr>
          <w:rFonts w:ascii="宋体" w:hAnsi="宋体" w:eastAsia="宋体"/>
          <w:sz w:val="24"/>
          <w:szCs w:val="24"/>
        </w:rPr>
        <w:t>，学习社区广场用于</w:t>
      </w:r>
      <w:r>
        <w:rPr>
          <w:rFonts w:ascii="宋体" w:hAnsi="宋体" w:eastAsia="宋体"/>
          <w:sz w:val="24"/>
          <w:szCs w:val="24"/>
          <w:highlight w:val="yellow"/>
        </w:rPr>
        <w:t>成果传播与关系维系。</w:t>
      </w:r>
    </w:p>
    <w:p w14:paraId="2A600399">
      <w:pPr>
        <w:pStyle w:val="3"/>
        <w:spacing w:before="163" w:after="163" w:line="360" w:lineRule="auto"/>
      </w:pPr>
      <w:bookmarkStart w:id="17" w:name="_Toc231849826"/>
      <w:bookmarkStart w:id="18" w:name="_Toc20985"/>
      <w:r>
        <w:t>1.空间布局设计</w:t>
      </w:r>
      <w:r>
        <w:rPr>
          <w:rFonts w:ascii="MS Gothic" w:hAnsi="MS Gothic" w:eastAsia="MS Gothic" w:cs="MS Gothic"/>
        </w:rPr>
        <w:t>​</w:t>
      </w:r>
      <w:bookmarkEnd w:id="17"/>
      <w:bookmarkEnd w:id="18"/>
      <w:r>
        <w:t xml:space="preserve"> </w:t>
      </w:r>
    </w:p>
    <w:p w14:paraId="4D4F98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空间布局围绕“中央枢纽—四区联动—学习闭环”展开。学习者进入中央广场后，可根据任务提示选择不同颜色的通道进入相应学习区：先在沉浸式探究区获得问题情境和实验体验，再到知识建构协作区整理证据、形成解释，随后到AI学习伙伴区获得个性化反馈，最后在学习社区广场展示成果并进行同伴互评。</w:t>
      </w:r>
    </w:p>
    <w:p w14:paraId="4F5FBEC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（1）作品原型截图：</w:t>
      </w:r>
    </w:p>
    <w:p w14:paraId="5B23D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2B57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①整体布局</w:t>
      </w:r>
    </w:p>
    <w:p w14:paraId="2ABD3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整体布局以中央广场的“SILS”发光标识为视觉中心，</w:t>
      </w:r>
      <w:r>
        <w:rPr>
          <w:rFonts w:hint="eastAsia" w:ascii="宋体" w:hAnsi="宋体" w:eastAsia="宋体" w:cs="宋体"/>
          <w:color w:val="0000FF"/>
          <w:sz w:val="24"/>
          <w:szCs w:val="24"/>
        </w:rPr>
        <w:t>四条不同颜色的路径分别连接四个学习区域，形成清晰的空间动线。</w:t>
      </w:r>
      <w:r>
        <w:rPr>
          <w:rFonts w:hint="eastAsia" w:ascii="宋体" w:hAnsi="宋体" w:eastAsia="宋体" w:cs="宋体"/>
          <w:sz w:val="24"/>
          <w:szCs w:val="24"/>
        </w:rPr>
        <w:t>中央广场既是进入平台后的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集合点</w:t>
      </w:r>
      <w:r>
        <w:rPr>
          <w:rFonts w:hint="eastAsia" w:ascii="宋体" w:hAnsi="宋体" w:eastAsia="宋体" w:cs="宋体"/>
          <w:sz w:val="24"/>
          <w:szCs w:val="24"/>
        </w:rPr>
        <w:t>，也是学习任务的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起点</w:t>
      </w:r>
      <w:r>
        <w:rPr>
          <w:rFonts w:hint="eastAsia" w:ascii="宋体" w:hAnsi="宋体" w:eastAsia="宋体" w:cs="宋体"/>
          <w:sz w:val="24"/>
          <w:szCs w:val="24"/>
        </w:rPr>
        <w:t>，教师可在此发布学习主题、提醒区域任务，学生可在此选择学习路径、查看公告或等待组队。四个区域不是孤立房间，而是对应学习过程中的不同环节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39000D46">
      <w:pPr>
        <w:spacing w:line="360" w:lineRule="auto"/>
        <w:jc w:val="center"/>
        <w:rPr>
          <w:rFonts w:eastAsia="宋体"/>
          <w:lang w:eastAsia="zh-CN"/>
        </w:rPr>
      </w:pPr>
      <w:r>
        <w:drawing>
          <wp:inline distT="0" distB="0" distL="0" distR="0">
            <wp:extent cx="2886075" cy="1508125"/>
            <wp:effectExtent l="0" t="0" r="9525" b="3175"/>
            <wp:docPr id="2" name="图片 2" descr="5f38d3b994f1a097197daac930791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38d3b994f1a097197daac930791c6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2887345" cy="1508125"/>
            <wp:effectExtent l="0" t="0" r="8255" b="3175"/>
            <wp:docPr id="3" name="图片 7" descr="50dfff4cae0ed3bf9cdb9dcfbd8ad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50dfff4cae0ed3bf9cdb9dcfbd8ad677"/>
                    <pic:cNvPicPr>
                      <a:picLocks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FA21B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3157855" cy="2018665"/>
            <wp:effectExtent l="0" t="0" r="4445" b="635"/>
            <wp:docPr id="4" name="图片 8" descr="9a65aecc298768d81cf34e2629452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9a65aecc298768d81cf34e262945215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1808E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textAlignment w:val="auto"/>
        <w:rPr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/>
          <w:b/>
          <w:bCs/>
          <w:sz w:val="24"/>
          <w:szCs w:val="24"/>
        </w:rPr>
        <w:t>②沉浸式探究区负责“发现问题与获取经验”</w:t>
      </w:r>
    </w:p>
    <w:p w14:paraId="59E471C3">
      <w:pPr>
        <w:spacing w:line="360" w:lineRule="auto"/>
        <w:jc w:val="center"/>
      </w:pPr>
      <w:r>
        <w:drawing>
          <wp:inline distT="0" distB="0" distL="0" distR="0">
            <wp:extent cx="3866515" cy="2019300"/>
            <wp:effectExtent l="0" t="0" r="6985" b="0"/>
            <wp:docPr id="5" name="图片 3" descr="8f58031c9fd71f7e41a515e24e0b9c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8f58031c9fd71f7e41a515e24e0b9c2a"/>
                    <pic:cNvPicPr>
                      <a:picLocks noChangeArrowheads="1"/>
                    </pic:cNvPicPr>
                  </pic:nvPicPr>
                  <pic:blipFill>
                    <a:blip r:embed="rId21"/>
                    <a:srcRect t="5674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9F560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textAlignment w:val="auto"/>
        <w:rPr>
          <w:rFonts w:ascii="宋体" w:hAnsi="宋体" w:eastAsia="宋体"/>
          <w:b/>
          <w:bCs/>
          <w:sz w:val="24"/>
          <w:szCs w:val="24"/>
        </w:rPr>
      </w:pPr>
    </w:p>
    <w:p w14:paraId="20AB3C42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textAlignment w:val="auto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ascii="宋体" w:hAnsi="宋体" w:eastAsia="宋体"/>
          <w:b/>
          <w:bCs/>
          <w:sz w:val="24"/>
          <w:szCs w:val="24"/>
        </w:rPr>
        <w:t>③知识建构协作区、负责“整理证据与形成解释”</w:t>
      </w:r>
    </w:p>
    <w:p w14:paraId="3BC30AF3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jc w:val="center"/>
        <w:textAlignment w:val="auto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3864610" cy="2019300"/>
            <wp:effectExtent l="0" t="0" r="8890" b="0"/>
            <wp:docPr id="6" name="图片 4" descr="390685a273d83055cf6b09cb9eb3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390685a273d83055cf6b09cb9eb374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329C8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textAlignment w:val="auto"/>
        <w:rPr>
          <w:rFonts w:ascii="宋体" w:hAnsi="宋体" w:eastAsia="宋体"/>
          <w:sz w:val="21"/>
          <w:szCs w:val="21"/>
        </w:rPr>
      </w:pPr>
    </w:p>
    <w:p w14:paraId="4C6BB29C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textAlignment w:val="auto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/>
          <w:b/>
          <w:bCs/>
          <w:sz w:val="24"/>
          <w:szCs w:val="24"/>
        </w:rPr>
        <w:t>④AI学习伙伴区、负</w:t>
      </w:r>
      <w:r>
        <w:rPr>
          <w:rFonts w:ascii="宋体" w:hAnsi="宋体" w:eastAsia="宋体"/>
          <w:b/>
          <w:bCs/>
          <w:sz w:val="24"/>
          <w:szCs w:val="24"/>
        </w:rPr>
        <w:t>责“诊断问题与个性化支持</w:t>
      </w:r>
      <w:r>
        <w:rPr>
          <w:rFonts w:ascii="宋体" w:hAnsi="宋体" w:eastAsia="宋体"/>
          <w:b/>
          <w:bCs/>
          <w:sz w:val="24"/>
          <w:szCs w:val="24"/>
        </w:rPr>
        <w:t>”</w:t>
      </w:r>
    </w:p>
    <w:p w14:paraId="53A6C4A3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jc w:val="center"/>
        <w:textAlignment w:val="auto"/>
        <w:rPr>
          <w:rFonts w:ascii="宋体" w:hAnsi="宋体" w:eastAsia="宋体"/>
          <w:sz w:val="21"/>
          <w:szCs w:val="21"/>
          <w:lang w:val="en-US" w:eastAsia="zh-CN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3864610" cy="2019300"/>
            <wp:effectExtent l="0" t="0" r="8890" b="0"/>
            <wp:docPr id="7" name="图片 5" descr="8bbce2a0393515c5b51022f552fd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8bbce2a0393515c5b51022f552fd978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008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87660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textAlignment w:val="auto"/>
        <w:rPr>
          <w:rFonts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/>
          <w:b/>
          <w:bCs/>
          <w:sz w:val="24"/>
          <w:szCs w:val="24"/>
        </w:rPr>
        <w:t>⑤学习社区广场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，</w:t>
      </w:r>
      <w:r>
        <w:rPr>
          <w:rFonts w:ascii="宋体" w:hAnsi="宋体" w:eastAsia="宋体"/>
          <w:b/>
          <w:bCs/>
          <w:sz w:val="24"/>
          <w:szCs w:val="24"/>
        </w:rPr>
        <w:t>负责“展示成果与持续交流”</w:t>
      </w:r>
    </w:p>
    <w:p w14:paraId="52D65307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jc w:val="center"/>
        <w:textAlignment w:val="auto"/>
        <w:rPr>
          <w:rFonts w:ascii="宋体" w:hAnsi="宋体" w:eastAsia="宋体"/>
          <w:sz w:val="21"/>
          <w:szCs w:val="21"/>
          <w:lang w:val="en-US" w:eastAsia="zh-CN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3864610" cy="2019300"/>
            <wp:effectExtent l="0" t="0" r="8890" b="0"/>
            <wp:docPr id="8" name="图片 6" descr="26bc77879dd522e336743e9a60471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26bc77879dd522e336743e9a604714e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723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BC481">
      <w:pPr>
        <w:keepNext w:val="0"/>
        <w:keepLines w:val="0"/>
        <w:pageBreakBefore w:val="0"/>
        <w:widowControl w:val="0"/>
        <w:overflowPunct w:val="0"/>
        <w:bidi w:val="0"/>
        <w:snapToGrid/>
        <w:spacing w:before="0" w:after="0"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（2）作品区域功能说明：</w:t>
      </w:r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4"/>
        <w:gridCol w:w="4603"/>
        <w:gridCol w:w="2785"/>
      </w:tblGrid>
      <w:tr w14:paraId="487CF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0ADE8364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区域名称</w:t>
            </w:r>
          </w:p>
        </w:tc>
        <w:tc>
          <w:tcPr>
            <w:tcW w:w="4503" w:type="dxa"/>
          </w:tcPr>
          <w:p w14:paraId="01E5F3C7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功能描述</w:t>
            </w:r>
          </w:p>
        </w:tc>
        <w:tc>
          <w:tcPr>
            <w:tcW w:w="2725" w:type="dxa"/>
          </w:tcPr>
          <w:p w14:paraId="1A94B9EF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设计亮点</w:t>
            </w:r>
          </w:p>
        </w:tc>
      </w:tr>
      <w:tr w14:paraId="7574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5CEA7600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中央广场/导航枢纽</w:t>
            </w:r>
          </w:p>
        </w:tc>
        <w:tc>
          <w:tcPr>
            <w:tcW w:w="4503" w:type="dxa"/>
          </w:tcPr>
          <w:p w14:paraId="2114924A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作为SILS入口与学习路线中心，提供欢迎标识、任务公告、区域传送门、用户集合、帮助入口和学习路径提示。学生从这里进入不同区域，教师可在这里发布任务并组织集合。</w:t>
            </w:r>
          </w:p>
        </w:tc>
        <w:tc>
          <w:tcPr>
            <w:tcW w:w="2725" w:type="dxa"/>
          </w:tcPr>
          <w:p w14:paraId="5C4C9B62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采用环形广场、发光SILS标牌和多方向彩色通道，视觉上形成“学习中心”。不同颜色道路对应不同区域，降低迷路感，适合新用户快速熟悉空间。</w:t>
            </w:r>
          </w:p>
        </w:tc>
      </w:tr>
      <w:tr w14:paraId="009EF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65514627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沉浸式探究区</w:t>
            </w:r>
          </w:p>
        </w:tc>
        <w:tc>
          <w:tcPr>
            <w:tcW w:w="4503" w:type="dxa"/>
          </w:tcPr>
          <w:p w14:paraId="03E526E0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围绕“虚拟实验·情境探索·跨学科项目”展开，设置实验台、科学数据屏、虚拟人体、DNA/地球模型等元素。学生可在此观察现象、操作模型、记录数据，完成探究式学习任务。</w:t>
            </w:r>
          </w:p>
        </w:tc>
        <w:tc>
          <w:tcPr>
            <w:tcW w:w="2725" w:type="dxa"/>
          </w:tcPr>
          <w:p w14:paraId="538056E6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用实验器材和科幻数据屏营造研究氛围，将抽象知识变成可观察对象；可反复操作、低风险、低成本，适合科学、STEAM和跨学科项目学习。</w:t>
            </w:r>
          </w:p>
        </w:tc>
      </w:tr>
      <w:tr w14:paraId="0A29A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770617DA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知识建构协作区</w:t>
            </w:r>
          </w:p>
        </w:tc>
        <w:tc>
          <w:tcPr>
            <w:tcW w:w="4503" w:type="dxa"/>
          </w:tcPr>
          <w:p w14:paraId="75B699AE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围绕“知识墙·协作共建·可视化思维”展开，设置共享白板、便利贴墙、问题看板、小组桌面和展示屏。学生在此进行头脑风暴、观点分类、证据整理和小组汇报。</w:t>
            </w:r>
          </w:p>
        </w:tc>
        <w:tc>
          <w:tcPr>
            <w:tcW w:w="2725" w:type="dxa"/>
          </w:tcPr>
          <w:p w14:paraId="1ABD682F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把讨论过程显性化，避免在线讨论只停留在聊天记录；通过问题板和知识墙推动学生从“说观点”走向“建结构”，方便教师观察协作过程。</w:t>
            </w:r>
          </w:p>
        </w:tc>
      </w:tr>
      <w:tr w14:paraId="7AC05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6D4A5F1B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AI学习伙伴区</w:t>
            </w:r>
          </w:p>
        </w:tc>
        <w:tc>
          <w:tcPr>
            <w:tcW w:w="4503" w:type="dxa"/>
          </w:tcPr>
          <w:p w14:paraId="65841842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围绕“AI导师·个性化学习·智能反馈”展开，设置AI虚拟形象、学习数据看板、个性化资源屏和学习分析面板。学生可获得答疑、路径建议、错因分析和资源推荐。</w:t>
            </w:r>
          </w:p>
        </w:tc>
        <w:tc>
          <w:tcPr>
            <w:tcW w:w="2725" w:type="dxa"/>
          </w:tcPr>
          <w:p w14:paraId="28C4DF73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AI不只是装饰角色，而是嵌入学习过程：学生问问题，系统给建议；教师看共性问题，平台做预警；管理者看数据趋势，支持教学决策。</w:t>
            </w:r>
          </w:p>
        </w:tc>
      </w:tr>
      <w:tr w14:paraId="1D6C4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 w14:paraId="3FFC209C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学习社区广场</w:t>
            </w:r>
          </w:p>
        </w:tc>
        <w:tc>
          <w:tcPr>
            <w:tcW w:w="4503" w:type="dxa"/>
          </w:tcPr>
          <w:p w14:paraId="0C94A692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围绕“社团活动·成果展示·交流分享”展开，设置沙发讨论区、成果展板、活动公告、书架和圆桌交流区。学生可发布作品、浏览同伴成果、进行互评和经验分享。</w:t>
            </w:r>
          </w:p>
        </w:tc>
        <w:tc>
          <w:tcPr>
            <w:tcW w:w="2725" w:type="dxa"/>
          </w:tcPr>
          <w:p w14:paraId="502FB8FA">
            <w:pPr>
              <w:keepNext w:val="0"/>
              <w:keepLines w:val="0"/>
              <w:pageBreakBefore w:val="0"/>
              <w:widowControl w:val="0"/>
              <w:overflowPunct w:val="0"/>
              <w:bidi w:val="0"/>
              <w:snapToGrid/>
              <w:spacing w:before="0" w:after="0" w:line="360" w:lineRule="auto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采用轻松的客厅式空间，弱化正式课堂压力，增强社会临场感。成果展板让学习可见，社区活动让学习延续到课后，形成持续性的学习共同体。</w:t>
            </w:r>
          </w:p>
        </w:tc>
      </w:tr>
    </w:tbl>
    <w:p w14:paraId="370BE854">
      <w:pPr>
        <w:pStyle w:val="3"/>
        <w:spacing w:before="163" w:after="163" w:line="360" w:lineRule="auto"/>
      </w:pPr>
      <w:bookmarkStart w:id="19" w:name="_Toc231849827"/>
      <w:bookmarkStart w:id="20" w:name="_Toc14337"/>
      <w:r>
        <w:t>2.核心交互设计</w:t>
      </w:r>
      <w:r>
        <w:rPr>
          <w:rFonts w:ascii="MS Gothic" w:hAnsi="MS Gothic" w:eastAsia="MS Gothic" w:cs="MS Gothic"/>
        </w:rPr>
        <w:t>​</w:t>
      </w:r>
      <w:bookmarkEnd w:id="19"/>
      <w:bookmarkEnd w:id="20"/>
      <w:r>
        <w:t xml:space="preserve"> </w:t>
      </w:r>
    </w:p>
    <w:p w14:paraId="01EF37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用户可通过</w:t>
      </w:r>
      <w:r>
        <w:rPr>
          <w:rFonts w:ascii="宋体" w:hAnsi="宋体" w:eastAsia="宋体"/>
          <w:sz w:val="24"/>
          <w:szCs w:val="24"/>
          <w:highlight w:val="yellow"/>
        </w:rPr>
        <w:t>传送门、虚拟设备、共享白板、AI学习伙伴、数据看板和成果展板等对象与环境</w:t>
      </w:r>
      <w:r>
        <w:rPr>
          <w:rFonts w:ascii="宋体" w:hAnsi="宋体" w:eastAsia="宋体"/>
          <w:sz w:val="24"/>
          <w:szCs w:val="24"/>
        </w:rPr>
        <w:t>互动。每一种交互都对应一个明确学习动作，例如</w:t>
      </w:r>
      <w:r>
        <w:rPr>
          <w:rFonts w:ascii="宋体" w:hAnsi="宋体" w:eastAsia="宋体"/>
          <w:color w:val="FF0000"/>
          <w:sz w:val="24"/>
          <w:szCs w:val="24"/>
        </w:rPr>
        <w:t>“进入区域”“操作实验”“协作整理”“获得反馈”“展示评价”，避免空间只停留在参观层面</w:t>
      </w:r>
      <w:r>
        <w:rPr>
          <w:rFonts w:ascii="宋体" w:hAnsi="宋体" w:eastAsia="宋体"/>
          <w:sz w:val="24"/>
          <w:szCs w:val="24"/>
        </w:rPr>
        <w:t>。</w:t>
      </w:r>
    </w:p>
    <w:p w14:paraId="47C2D053">
      <w:pPr>
        <w:pStyle w:val="27"/>
        <w:numPr>
          <w:ilvl w:val="0"/>
          <w:numId w:val="2"/>
        </w:numPr>
        <w:spacing w:before="0" w:after="0" w:line="360" w:lineRule="auto"/>
        <w:rPr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互动1：传送门导航交互。</w:t>
      </w:r>
      <w:r>
        <w:rPr>
          <w:rFonts w:ascii="宋体" w:hAnsi="宋体" w:eastAsia="宋体"/>
          <w:sz w:val="24"/>
          <w:szCs w:val="24"/>
        </w:rPr>
        <w:t>用户点击或靠近中央广场的彩色传送门，即可进入对应功能区；进入后会看到区域名称、学习任务提示和可操作对象，帮助新用户快速理解“我在哪里、要做什么、下一步去哪”。</w:t>
      </w:r>
    </w:p>
    <w:p w14:paraId="65416FA0">
      <w:pPr>
        <w:pStyle w:val="27"/>
        <w:numPr>
          <w:ilvl w:val="0"/>
          <w:numId w:val="2"/>
        </w:numPr>
        <w:spacing w:before="0" w:after="0" w:line="360" w:lineRule="auto"/>
        <w:rPr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互动2：沉浸式探究交互。</w:t>
      </w:r>
      <w:r>
        <w:rPr>
          <w:rFonts w:ascii="宋体" w:hAnsi="宋体" w:eastAsia="宋体"/>
          <w:sz w:val="24"/>
          <w:szCs w:val="24"/>
        </w:rPr>
        <w:t>学生在沉浸式探究区点击实验台、虚拟人体、地球模型、数据屏等物件，可触发实验演示、模型放大、知识提示和任务记录；教师可将其设计为“观察现象—提出假设—收集证据—形成解释”的探究流程。</w:t>
      </w:r>
    </w:p>
    <w:p w14:paraId="398C7A44">
      <w:pPr>
        <w:pStyle w:val="27"/>
        <w:numPr>
          <w:ilvl w:val="0"/>
          <w:numId w:val="2"/>
        </w:numPr>
        <w:spacing w:before="0" w:after="0" w:line="360" w:lineRule="auto"/>
        <w:rPr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互动3：AI学习伙伴对话。</w:t>
      </w:r>
      <w:r>
        <w:rPr>
          <w:rFonts w:ascii="宋体" w:hAnsi="宋体" w:eastAsia="宋体"/>
          <w:sz w:val="24"/>
          <w:szCs w:val="24"/>
        </w:rPr>
        <w:t>学生可通过文字或语音向AI导师提问，AI根据学习任务提供概念解释、错因提示、资源推荐和下一步学习建议；教师端可查看AI汇总的高频问题和学习预警，用于后续讲评。</w:t>
      </w:r>
    </w:p>
    <w:p w14:paraId="01E0D3D8">
      <w:pPr>
        <w:pStyle w:val="27"/>
        <w:numPr>
          <w:ilvl w:val="0"/>
          <w:numId w:val="2"/>
        </w:numPr>
        <w:spacing w:before="0" w:after="0" w:line="360" w:lineRule="auto"/>
        <w:rPr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互动4：知识共建交互。</w:t>
      </w:r>
      <w:r>
        <w:rPr>
          <w:rFonts w:ascii="宋体" w:hAnsi="宋体" w:eastAsia="宋体"/>
          <w:sz w:val="24"/>
          <w:szCs w:val="24"/>
        </w:rPr>
        <w:t>小组成员在知识建构协作区共同编辑白板、拖拽便利贴、补充问题板内容，系统实时同步讨论结果，并把“问题—证据—观点—结论”沉淀为知识墙或思维导图。</w:t>
      </w:r>
    </w:p>
    <w:p w14:paraId="2A7CC74F">
      <w:pPr>
        <w:pStyle w:val="27"/>
        <w:numPr>
          <w:ilvl w:val="0"/>
          <w:numId w:val="2"/>
        </w:numPr>
        <w:spacing w:before="0" w:after="0" w:line="360" w:lineRule="auto"/>
        <w:rPr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互动5：社区展示交互。</w:t>
      </w:r>
      <w:r>
        <w:rPr>
          <w:rFonts w:ascii="宋体" w:hAnsi="宋体" w:eastAsia="宋体"/>
          <w:sz w:val="24"/>
          <w:szCs w:val="24"/>
        </w:rPr>
        <w:t>学习者在学习社区广场点击成果展板查看作品说明，发布学习收获，进行点赞、评论、同伴互评和经验分享；教师可选择优秀成果进行展示，形成学习榜样和社群激励。</w:t>
      </w:r>
    </w:p>
    <w:p w14:paraId="6D9176B0">
      <w:pPr>
        <w:pStyle w:val="2"/>
        <w:spacing w:line="360" w:lineRule="auto"/>
      </w:pPr>
      <w:bookmarkStart w:id="21" w:name="_Toc231849828"/>
      <w:bookmarkStart w:id="22" w:name="_Toc16751"/>
      <w:r>
        <w:t>五、作品测试：与传统环境的对比验证</w:t>
      </w:r>
      <w:r>
        <w:rPr>
          <w:rFonts w:ascii="MS Gothic" w:hAnsi="MS Gothic" w:eastAsia="MS Gothic" w:cs="MS Gothic"/>
        </w:rPr>
        <w:t>​</w:t>
      </w:r>
      <w:bookmarkEnd w:id="21"/>
      <w:bookmarkEnd w:id="22"/>
      <w:r>
        <w:t xml:space="preserve"> </w:t>
      </w:r>
    </w:p>
    <w:p w14:paraId="1DAF2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b/>
          <w:color w:val="C00000"/>
          <w:sz w:val="24"/>
          <w:szCs w:val="24"/>
          <w:highlight w:val="yellow"/>
          <w:shd w:val="pct15" w:color="auto" w:fill="FFFFFF"/>
        </w:rPr>
      </w:pPr>
      <w:r>
        <w:rPr>
          <w:rFonts w:ascii="宋体" w:hAnsi="宋体" w:eastAsia="宋体"/>
          <w:sz w:val="24"/>
          <w:szCs w:val="24"/>
        </w:rPr>
        <w:t>本部分从互动反馈、资源整合、沉浸体验、协作过程和学习过程可视化等方面，对作品相较传统在线学习环境的改进效果进行验证。测试重点不是只看场景是否好看，而是观察学习者</w:t>
      </w:r>
      <w:r>
        <w:rPr>
          <w:rFonts w:ascii="宋体" w:hAnsi="宋体" w:eastAsia="宋体"/>
          <w:sz w:val="24"/>
          <w:szCs w:val="24"/>
          <w:highlight w:val="yellow"/>
        </w:rPr>
        <w:t>能否理解任务路径、能否产生互动、能否获得反馈，以及教师能否依据空间数据进行指导。</w:t>
      </w:r>
    </w:p>
    <w:p w14:paraId="10496036">
      <w:pPr>
        <w:pStyle w:val="3"/>
        <w:spacing w:before="163" w:after="163" w:line="360" w:lineRule="auto"/>
        <w:rPr>
          <w:rFonts w:hint="eastAsia" w:ascii="宋体" w:hAnsi="宋体" w:eastAsia="宋体" w:cs="宋体"/>
          <w:sz w:val="24"/>
          <w:szCs w:val="24"/>
        </w:rPr>
      </w:pPr>
      <w:bookmarkStart w:id="23" w:name="_Toc19455"/>
      <w:r>
        <w:rPr>
          <w:rFonts w:hint="eastAsia" w:ascii="宋体" w:hAnsi="宋体" w:eastAsia="宋体" w:cs="宋体"/>
          <w:sz w:val="24"/>
          <w:szCs w:val="24"/>
        </w:rPr>
        <w:t>1.解决的问题（与传统在线学习对比）</w:t>
      </w:r>
      <w:bookmarkEnd w:id="23"/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9"/>
        <w:gridCol w:w="3615"/>
        <w:gridCol w:w="4138"/>
      </w:tblGrid>
      <w:tr w14:paraId="6349C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9" w:type="dxa"/>
          </w:tcPr>
          <w:p w14:paraId="22BA77F4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传统在线学习痛点</w:t>
            </w:r>
          </w:p>
        </w:tc>
        <w:tc>
          <w:tcPr>
            <w:tcW w:w="3615" w:type="dxa"/>
          </w:tcPr>
          <w:p w14:paraId="727B0466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本作品的解决方案</w:t>
            </w:r>
          </w:p>
        </w:tc>
        <w:tc>
          <w:tcPr>
            <w:tcW w:w="4138" w:type="dxa"/>
          </w:tcPr>
          <w:p w14:paraId="5D6ED08F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改进效果（数据或定性描述）</w:t>
            </w:r>
          </w:p>
        </w:tc>
      </w:tr>
      <w:tr w14:paraId="318FE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9" w:type="dxa"/>
          </w:tcPr>
          <w:p w14:paraId="063909C1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传统在线学习互动性弱，学生主要“看屏幕”和“交作业”。</w:t>
            </w:r>
          </w:p>
        </w:tc>
        <w:tc>
          <w:tcPr>
            <w:tcW w:w="3615" w:type="dxa"/>
          </w:tcPr>
          <w:p w14:paraId="46245EFC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通过中央广场集合、传送门任务入口、语音/文字交流、表情反馈和成果展示引导学生主动参与。</w:t>
            </w:r>
          </w:p>
        </w:tc>
        <w:tc>
          <w:tcPr>
            <w:tcW w:w="4138" w:type="dxa"/>
          </w:tcPr>
          <w:p w14:paraId="7BA33BB4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测试者能较快理解学习路线，表示“比普通网课更像进入一个学习场景”，互动意愿更强。</w:t>
            </w:r>
          </w:p>
        </w:tc>
      </w:tr>
      <w:tr w14:paraId="4872C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9" w:type="dxa"/>
          </w:tcPr>
          <w:p w14:paraId="18A600EC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虚拟实验和实践活动不足，很多内容只能看视频演示。</w:t>
            </w:r>
          </w:p>
        </w:tc>
        <w:tc>
          <w:tcPr>
            <w:tcW w:w="3615" w:type="dxa"/>
          </w:tcPr>
          <w:p w14:paraId="728F013E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在沉浸式探究区加入实验台、科学模型、情境屏和可点击物件，支持观察、模拟、记录和项目探究。</w:t>
            </w:r>
          </w:p>
        </w:tc>
        <w:tc>
          <w:tcPr>
            <w:tcW w:w="4138" w:type="dxa"/>
          </w:tcPr>
          <w:p w14:paraId="2E07D5E2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能降低实验条件限制，适合远程条件下开展预实验、演示实验和跨学科项目导入。</w:t>
            </w:r>
          </w:p>
        </w:tc>
      </w:tr>
      <w:tr w14:paraId="75F16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9" w:type="dxa"/>
          </w:tcPr>
          <w:p w14:paraId="1B29CBC5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小组协作过程不透明，讨论结果容易零散。</w:t>
            </w:r>
          </w:p>
        </w:tc>
        <w:tc>
          <w:tcPr>
            <w:tcW w:w="3615" w:type="dxa"/>
          </w:tcPr>
          <w:p w14:paraId="496AEA71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知识建构协作区通过共享白板、知识墙、问题板和小组桌面</w:t>
            </w:r>
            <w:r>
              <w:rPr>
                <w:rFonts w:hint="eastAsia" w:ascii="宋体" w:hAnsi="宋体" w:cs="宋体"/>
                <w:b w:val="0"/>
                <w:sz w:val="24"/>
                <w:szCs w:val="24"/>
                <w:lang w:val="en-US" w:eastAsia="zh-CN"/>
              </w:rPr>
              <w:t>沉浸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讨论痕迹。</w:t>
            </w:r>
          </w:p>
        </w:tc>
        <w:tc>
          <w:tcPr>
            <w:tcW w:w="4138" w:type="dxa"/>
          </w:tcPr>
          <w:p w14:paraId="47FFEB8A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小组观点、证据和结论更容易被看见，教师也更容易追踪协作过程与贡献。</w:t>
            </w:r>
          </w:p>
        </w:tc>
      </w:tr>
      <w:tr w14:paraId="787D9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9" w:type="dxa"/>
          </w:tcPr>
          <w:p w14:paraId="2DBFE0E3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个性化支持不足，学生遇到问题时反馈慢。</w:t>
            </w:r>
          </w:p>
        </w:tc>
        <w:tc>
          <w:tcPr>
            <w:tcW w:w="3615" w:type="dxa"/>
          </w:tcPr>
          <w:p w14:paraId="3D883C2A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AI学习伙伴区提供即时答疑、资源推荐、学习画像、错因分析和学习路径建议。</w:t>
            </w:r>
          </w:p>
        </w:tc>
        <w:tc>
          <w:tcPr>
            <w:tcW w:w="4138" w:type="dxa"/>
          </w:tcPr>
          <w:p w14:paraId="72062C4D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测试者认为AI区能够缓解“没人及时回答”的问题，也能帮助教师发现共性困难。</w:t>
            </w:r>
          </w:p>
        </w:tc>
      </w:tr>
      <w:tr w14:paraId="66D1B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9" w:type="dxa"/>
          </w:tcPr>
          <w:p w14:paraId="0CFA12B2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学习成果展示少，社区归属感弱，学习结束后缺少延续。</w:t>
            </w:r>
          </w:p>
        </w:tc>
        <w:tc>
          <w:tcPr>
            <w:tcW w:w="3615" w:type="dxa"/>
          </w:tcPr>
          <w:p w14:paraId="2441A60C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学习社区广场提供成果展示墙、同伴互评、经验分享、社团活动和学习榜样展示。</w:t>
            </w:r>
          </w:p>
        </w:tc>
        <w:tc>
          <w:tcPr>
            <w:tcW w:w="4138" w:type="dxa"/>
          </w:tcPr>
          <w:p w14:paraId="6B46365E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学习成果更可见，学生更容易产生被认可感和归属感，有助于维持学习动力。</w:t>
            </w:r>
          </w:p>
        </w:tc>
      </w:tr>
    </w:tbl>
    <w:p w14:paraId="2627BC55">
      <w:pPr>
        <w:pStyle w:val="3"/>
        <w:spacing w:before="163" w:after="163" w:line="360" w:lineRule="auto"/>
        <w:rPr>
          <w:rFonts w:hint="eastAsia" w:ascii="宋体" w:hAnsi="宋体" w:eastAsia="宋体" w:cs="宋体"/>
          <w:sz w:val="24"/>
          <w:szCs w:val="24"/>
        </w:rPr>
      </w:pPr>
      <w:bookmarkStart w:id="24" w:name="_Toc27507"/>
      <w:r>
        <w:rPr>
          <w:rFonts w:hint="eastAsia" w:ascii="宋体" w:hAnsi="宋体" w:eastAsia="宋体" w:cs="宋体"/>
          <w:sz w:val="24"/>
          <w:szCs w:val="24"/>
        </w:rPr>
        <w:t>2.小组测试过程与结果</w:t>
      </w:r>
      <w:bookmarkEnd w:id="24"/>
    </w:p>
    <w:p w14:paraId="3FC0420A">
      <w:pPr>
        <w:pStyle w:val="27"/>
        <w:numPr>
          <w:ilvl w:val="0"/>
          <w:numId w:val="3"/>
        </w:numPr>
        <w:spacing w:before="0" w:after="0" w:line="360" w:lineRule="auto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测试对象：小组成员及同伴共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人，其中学生角色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人、教师角色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人、管理者角色1人。测试方式包括原型走查、任务情境体验和简短访谈，要求测试者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依次完成“进入中央广场—选择区域—查看任务—进行互动—展示成果”的流程。</w:t>
      </w:r>
    </w:p>
    <w:p w14:paraId="1FF63A02">
      <w:pPr>
        <w:pStyle w:val="27"/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主要结论：作品已实现中央枢纽导航、四大功能区分区展示、AI学习伙伴支持、协作讨论和社区展示等核心设计。测试反馈表明，用户能够较快理解空间结构，沉浸式探究区和AI学习伙伴区吸引力较强；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不足</w:t>
      </w:r>
      <w:r>
        <w:rPr>
          <w:rFonts w:hint="eastAsia" w:ascii="宋体" w:hAnsi="宋体" w:eastAsia="宋体" w:cs="宋体"/>
          <w:sz w:val="24"/>
          <w:szCs w:val="24"/>
        </w:rPr>
        <w:t>在于部分交互仍以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展示和模拟为主，真实数据接入、移动端适配和新手引导仍需继续优化。</w:t>
      </w:r>
    </w:p>
    <w:p w14:paraId="34BBC4D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0D896218">
      <w:pPr>
        <w:pStyle w:val="2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25" w:name="_Toc231849831"/>
      <w:bookmarkStart w:id="26" w:name="_Toc29850"/>
      <w:r>
        <w:rPr>
          <w:rFonts w:hint="eastAsia" w:ascii="宋体" w:hAnsi="宋体" w:eastAsia="宋体" w:cs="宋体"/>
          <w:sz w:val="28"/>
          <w:szCs w:val="28"/>
        </w:rPr>
        <w:t>六、作品迭代：局限性与未来优化目标​</w:t>
      </w:r>
      <w:bookmarkEnd w:id="25"/>
      <w:bookmarkEnd w:id="26"/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4EB4DA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color w:val="C00000"/>
          <w:sz w:val="24"/>
          <w:szCs w:val="24"/>
          <w:highlight w:val="yellow"/>
          <w:shd w:val="pct15" w:color="auto" w:fill="FFFFFF"/>
        </w:rPr>
      </w:pPr>
      <w:r>
        <w:rPr>
          <w:rFonts w:hint="eastAsia" w:ascii="宋体" w:hAnsi="宋体" w:eastAsia="宋体" w:cs="宋体"/>
          <w:sz w:val="24"/>
          <w:szCs w:val="24"/>
        </w:rPr>
        <w:t>本部分从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技术性能、资源内容、用户体验、数据治理和教学应用五个方面分析</w:t>
      </w:r>
      <w:r>
        <w:rPr>
          <w:rFonts w:hint="eastAsia" w:ascii="宋体" w:hAnsi="宋体" w:eastAsia="宋体" w:cs="宋体"/>
          <w:sz w:val="24"/>
          <w:szCs w:val="24"/>
        </w:rPr>
        <w:t>作品局限，并提出后续迭代目标。总体思路是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先保证“能顺畅进入和完成任务”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再逐步增强“真实数据接入、智能反馈质量和课程可复制性”。</w:t>
      </w:r>
    </w:p>
    <w:p w14:paraId="4750CB8D">
      <w:pPr>
        <w:pStyle w:val="3"/>
        <w:spacing w:before="163" w:after="163" w:line="360" w:lineRule="auto"/>
        <w:rPr>
          <w:rFonts w:hint="eastAsia" w:ascii="宋体" w:hAnsi="宋体" w:eastAsia="宋体" w:cs="宋体"/>
          <w:sz w:val="24"/>
          <w:szCs w:val="24"/>
        </w:rPr>
      </w:pPr>
      <w:bookmarkStart w:id="27" w:name="_Toc231849832"/>
      <w:bookmarkStart w:id="28" w:name="_Toc29647"/>
      <w:r>
        <w:rPr>
          <w:rFonts w:hint="eastAsia" w:ascii="宋体" w:hAnsi="宋体" w:eastAsia="宋体" w:cs="宋体"/>
          <w:sz w:val="24"/>
          <w:szCs w:val="24"/>
        </w:rPr>
        <w:t>1.作品的当前局限性</w:t>
      </w:r>
      <w:bookmarkEnd w:id="27"/>
      <w:bookmarkEnd w:id="28"/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6455"/>
        <w:gridCol w:w="2426"/>
      </w:tblGrid>
      <w:tr w14:paraId="17377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</w:tcPr>
          <w:p w14:paraId="3F5164C1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类别</w:t>
            </w:r>
          </w:p>
        </w:tc>
        <w:tc>
          <w:tcPr>
            <w:tcW w:w="6315" w:type="dxa"/>
          </w:tcPr>
          <w:p w14:paraId="425847D5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具体问题</w:t>
            </w:r>
          </w:p>
        </w:tc>
        <w:tc>
          <w:tcPr>
            <w:tcW w:w="2373" w:type="dxa"/>
          </w:tcPr>
          <w:p w14:paraId="1B8AA361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严重程度（高/中/低）</w:t>
            </w:r>
          </w:p>
        </w:tc>
      </w:tr>
      <w:tr w14:paraId="06819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</w:tcPr>
          <w:p w14:paraId="75C9ED5B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技术</w:t>
            </w:r>
          </w:p>
        </w:tc>
        <w:tc>
          <w:tcPr>
            <w:tcW w:w="6315" w:type="dxa"/>
          </w:tcPr>
          <w:p w14:paraId="408048A0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多人同时在线、复杂3D模型和实时语音会增加设备与网络压力；移动端浏览时可能出现加载慢、视角操作不便等问题。</w:t>
            </w:r>
          </w:p>
        </w:tc>
        <w:tc>
          <w:tcPr>
            <w:tcW w:w="2373" w:type="dxa"/>
          </w:tcPr>
          <w:p w14:paraId="412D8AAF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中</w:t>
            </w:r>
          </w:p>
        </w:tc>
      </w:tr>
      <w:tr w14:paraId="54904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</w:tcPr>
          <w:p w14:paraId="150255F4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内容</w:t>
            </w:r>
          </w:p>
        </w:tc>
        <w:tc>
          <w:tcPr>
            <w:tcW w:w="6315" w:type="dxa"/>
          </w:tcPr>
          <w:p w14:paraId="72C3AF7D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目前主要完成空间框架与示例场景，虚拟实验任务、学科资源包、项目模板和评价量规数量仍有限。</w:t>
            </w:r>
          </w:p>
        </w:tc>
        <w:tc>
          <w:tcPr>
            <w:tcW w:w="2373" w:type="dxa"/>
          </w:tcPr>
          <w:p w14:paraId="787B453B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中</w:t>
            </w:r>
          </w:p>
        </w:tc>
      </w:tr>
      <w:tr w14:paraId="21390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</w:tcPr>
          <w:p w14:paraId="3E70F4AF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体验</w:t>
            </w:r>
          </w:p>
        </w:tc>
        <w:tc>
          <w:tcPr>
            <w:tcW w:w="6315" w:type="dxa"/>
          </w:tcPr>
          <w:p w14:paraId="55069BA8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新用户需要更清晰的入场引导、操作说明和任务路线，否则可能只是在空间中参观，未真正进入学习任务。</w:t>
            </w:r>
          </w:p>
        </w:tc>
        <w:tc>
          <w:tcPr>
            <w:tcW w:w="2373" w:type="dxa"/>
          </w:tcPr>
          <w:p w14:paraId="5D8FEFE7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中</w:t>
            </w:r>
          </w:p>
        </w:tc>
      </w:tr>
      <w:tr w14:paraId="23601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</w:tcPr>
          <w:p w14:paraId="3E9A95A7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数据</w:t>
            </w:r>
          </w:p>
        </w:tc>
        <w:tc>
          <w:tcPr>
            <w:tcW w:w="6315" w:type="dxa"/>
          </w:tcPr>
          <w:p w14:paraId="563A5DC6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学习画像、智能反馈和教师看板仍以原型说明为主，尚未接入真实学习行为数据和长期学习记录。</w:t>
            </w:r>
          </w:p>
        </w:tc>
        <w:tc>
          <w:tcPr>
            <w:tcW w:w="2373" w:type="dxa"/>
          </w:tcPr>
          <w:p w14:paraId="2DACE61C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高</w:t>
            </w:r>
          </w:p>
        </w:tc>
      </w:tr>
      <w:tr w14:paraId="1533F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</w:tcPr>
          <w:p w14:paraId="6BA86987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管理</w:t>
            </w:r>
          </w:p>
        </w:tc>
        <w:tc>
          <w:tcPr>
            <w:tcW w:w="6315" w:type="dxa"/>
          </w:tcPr>
          <w:p w14:paraId="506C41CD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用户权限、内容审核、数据隐私、教师管理端和学校级资源配置机制仍需进一步设计与验证。</w:t>
            </w:r>
          </w:p>
        </w:tc>
        <w:tc>
          <w:tcPr>
            <w:tcW w:w="2373" w:type="dxa"/>
          </w:tcPr>
          <w:p w14:paraId="3A573A61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中</w:t>
            </w:r>
          </w:p>
        </w:tc>
      </w:tr>
    </w:tbl>
    <w:p w14:paraId="37A407F8">
      <w:pPr>
        <w:pStyle w:val="3"/>
        <w:spacing w:before="163" w:after="163" w:line="360" w:lineRule="auto"/>
        <w:rPr>
          <w:rFonts w:hint="eastAsia" w:ascii="宋体" w:hAnsi="宋体" w:eastAsia="宋体" w:cs="宋体"/>
          <w:sz w:val="24"/>
          <w:szCs w:val="24"/>
        </w:rPr>
      </w:pPr>
      <w:bookmarkStart w:id="29" w:name="_Toc231849833"/>
      <w:bookmarkStart w:id="30" w:name="_Toc29351"/>
      <w:r>
        <w:rPr>
          <w:rFonts w:hint="eastAsia" w:ascii="宋体" w:hAnsi="宋体" w:eastAsia="宋体" w:cs="宋体"/>
          <w:sz w:val="24"/>
          <w:szCs w:val="24"/>
        </w:rPr>
        <w:t>2.未来优化路线图</w:t>
      </w:r>
      <w:bookmarkEnd w:id="29"/>
      <w:bookmarkEnd w:id="30"/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0"/>
        <w:gridCol w:w="1449"/>
        <w:gridCol w:w="7503"/>
      </w:tblGrid>
      <w:tr w14:paraId="09211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58F4C11C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阶段</w:t>
            </w:r>
          </w:p>
        </w:tc>
        <w:tc>
          <w:tcPr>
            <w:tcW w:w="1418" w:type="dxa"/>
          </w:tcPr>
          <w:p w14:paraId="2446C55F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时间规划</w:t>
            </w:r>
          </w:p>
        </w:tc>
        <w:tc>
          <w:tcPr>
            <w:tcW w:w="7340" w:type="dxa"/>
          </w:tcPr>
          <w:p w14:paraId="0BEC0543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优化内容</w:t>
            </w:r>
          </w:p>
        </w:tc>
      </w:tr>
      <w:tr w14:paraId="18540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54F576EF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短期</w:t>
            </w:r>
          </w:p>
        </w:tc>
        <w:tc>
          <w:tcPr>
            <w:tcW w:w="1418" w:type="dxa"/>
          </w:tcPr>
          <w:p w14:paraId="7C97E466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个月内</w:t>
            </w:r>
          </w:p>
        </w:tc>
        <w:tc>
          <w:tcPr>
            <w:tcW w:w="7340" w:type="dxa"/>
          </w:tcPr>
          <w:p w14:paraId="3FBD9274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完善新手引导、区域说明、传送门提示和任务脚本；补充各区域的操作说明、讲解词和测试记录；优化截图清晰度与文档排版。</w:t>
            </w:r>
          </w:p>
        </w:tc>
      </w:tr>
      <w:tr w14:paraId="37938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3FC114D8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中期</w:t>
            </w:r>
          </w:p>
        </w:tc>
        <w:tc>
          <w:tcPr>
            <w:tcW w:w="1418" w:type="dxa"/>
          </w:tcPr>
          <w:p w14:paraId="3996C464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个月内</w:t>
            </w:r>
          </w:p>
        </w:tc>
        <w:tc>
          <w:tcPr>
            <w:tcW w:w="7340" w:type="dxa"/>
          </w:tcPr>
          <w:p w14:paraId="468A3C80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扩展虚拟实验、协作任务和社区活动模板；接入基础学习记录、教师端看板和学生任务完成状态；完善同伴互评与成果展示流程。</w:t>
            </w:r>
          </w:p>
        </w:tc>
      </w:tr>
      <w:tr w14:paraId="7BF00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 w14:paraId="4F8C1A6A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长期</w:t>
            </w:r>
          </w:p>
        </w:tc>
        <w:tc>
          <w:tcPr>
            <w:tcW w:w="1418" w:type="dxa"/>
          </w:tcPr>
          <w:p w14:paraId="0B804D65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个月内</w:t>
            </w:r>
          </w:p>
        </w:tc>
        <w:tc>
          <w:tcPr>
            <w:tcW w:w="7340" w:type="dxa"/>
          </w:tcPr>
          <w:p w14:paraId="4327633D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对接真实课程资源与AI学习分析模型；优化多端适配、权限管理、数据安全和学校级管理功能；开展小规模教学试点并根据数据持续迭代。</w:t>
            </w:r>
          </w:p>
        </w:tc>
      </w:tr>
    </w:tbl>
    <w:p w14:paraId="592BE9F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C93D428">
      <w:pPr>
        <w:pStyle w:val="2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31" w:name="_Toc231849834"/>
      <w:bookmarkStart w:id="32" w:name="_Toc23402"/>
      <w:r>
        <w:rPr>
          <w:rFonts w:hint="eastAsia" w:ascii="宋体" w:hAnsi="宋体" w:eastAsia="宋体" w:cs="宋体"/>
          <w:sz w:val="28"/>
          <w:szCs w:val="28"/>
        </w:rPr>
        <w:t>七、技术赋能：智能体及其他AI工具的应用​</w:t>
      </w:r>
      <w:bookmarkEnd w:id="31"/>
      <w:bookmarkEnd w:id="32"/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6C5B2D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color w:val="C00000"/>
          <w:sz w:val="24"/>
          <w:szCs w:val="24"/>
          <w:shd w:val="pct15" w:color="auto" w:fill="FFFFFF"/>
        </w:rPr>
      </w:pPr>
      <w:r>
        <w:rPr>
          <w:rFonts w:hint="eastAsia" w:ascii="宋体" w:hAnsi="宋体" w:eastAsia="宋体" w:cs="宋体"/>
          <w:sz w:val="24"/>
          <w:szCs w:val="24"/>
        </w:rPr>
        <w:t>AI工具贯穿需求分析、原型构思、内容制作和测试优化全过程。它一方面帮助小组快速生成初步方案、标识文案和空间说明，另一方面也作为“模拟用户”和“智能助教”参与测试反思，使作品从视觉场景进一步转向有学习逻辑的在线学习空间。</w:t>
      </w:r>
    </w:p>
    <w:tbl>
      <w:tblPr>
        <w:tblStyle w:val="1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7"/>
        <w:gridCol w:w="4064"/>
        <w:gridCol w:w="4601"/>
      </w:tblGrid>
      <w:tr w14:paraId="361E7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7" w:type="dxa"/>
          </w:tcPr>
          <w:p w14:paraId="6720106C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设计阶段</w:t>
            </w:r>
          </w:p>
        </w:tc>
        <w:tc>
          <w:tcPr>
            <w:tcW w:w="4064" w:type="dxa"/>
          </w:tcPr>
          <w:p w14:paraId="1F9330E9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使用的AI工具/智能体</w:t>
            </w:r>
          </w:p>
        </w:tc>
        <w:tc>
          <w:tcPr>
            <w:tcW w:w="4601" w:type="dxa"/>
          </w:tcPr>
          <w:p w14:paraId="379BA551">
            <w:pPr>
              <w:spacing w:before="0" w:after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具体用途与效果（附截图位置）</w:t>
            </w:r>
          </w:p>
        </w:tc>
      </w:tr>
      <w:tr w14:paraId="39CA3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7" w:type="dxa"/>
          </w:tcPr>
          <w:p w14:paraId="6E31A0E4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需求分析</w:t>
            </w:r>
          </w:p>
        </w:tc>
        <w:tc>
          <w:tcPr>
            <w:tcW w:w="4064" w:type="dxa"/>
          </w:tcPr>
          <w:p w14:paraId="1DB33EF2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ChatGPT、DeepSeek、文献检索工具、访谈整理表</w:t>
            </w:r>
          </w:p>
        </w:tc>
        <w:tc>
          <w:tcPr>
            <w:tcW w:w="4601" w:type="dxa"/>
          </w:tcPr>
          <w:p w14:paraId="1B4F3309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用于从学生、教师、管理者三类视角归纳痛点，提炼“互动弱、反馈慢、资源散、体验浅、社区感不足”等核心问题，并转化为功能目标。</w:t>
            </w:r>
          </w:p>
        </w:tc>
      </w:tr>
      <w:tr w14:paraId="415F5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7" w:type="dxa"/>
          </w:tcPr>
          <w:p w14:paraId="4523C973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原型设计</w:t>
            </w:r>
          </w:p>
        </w:tc>
        <w:tc>
          <w:tcPr>
            <w:tcW w:w="4064" w:type="dxa"/>
          </w:tcPr>
          <w:p w14:paraId="77892A45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AIGC图像生成工具、元宇宙空间编辑器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（</w:t>
            </w:r>
            <w:r>
              <w:rPr>
                <w:rStyle w:val="1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2D6EE1"/>
                <w:spacing w:val="0"/>
                <w:sz w:val="24"/>
                <w:szCs w:val="24"/>
                <w:u w:val="single"/>
                <w:shd w:val="clear" w:fill="FFFFFF"/>
              </w:rPr>
              <w:fldChar w:fldCharType="begin"/>
            </w:r>
            <w:r>
              <w:rPr>
                <w:rStyle w:val="1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2D6EE1"/>
                <w:spacing w:val="0"/>
                <w:sz w:val="24"/>
                <w:szCs w:val="24"/>
                <w:u w:val="single"/>
                <w:shd w:val="clear" w:fill="FFFFFF"/>
              </w:rPr>
              <w:instrText xml:space="preserve"> HYPERLINK "https://edu.delightex.com/Auth" </w:instrText>
            </w:r>
            <w:r>
              <w:rPr>
                <w:rStyle w:val="1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2D6EE1"/>
                <w:spacing w:val="0"/>
                <w:sz w:val="24"/>
                <w:szCs w:val="24"/>
                <w:u w:val="single"/>
                <w:shd w:val="clear" w:fill="FFFFFF"/>
              </w:rPr>
              <w:fldChar w:fldCharType="separate"/>
            </w:r>
            <w:r>
              <w:rPr>
                <w:rStyle w:val="18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2D6EE1"/>
                <w:spacing w:val="0"/>
                <w:sz w:val="24"/>
                <w:szCs w:val="24"/>
                <w:u w:val="single"/>
                <w:shd w:val="clear" w:fill="FFFFFF"/>
              </w:rPr>
              <w:t>Delightex Edu平台</w:t>
            </w:r>
            <w:r>
              <w:rPr>
                <w:rStyle w:val="1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2D6EE1"/>
                <w:spacing w:val="0"/>
                <w:sz w:val="24"/>
                <w:szCs w:val="24"/>
                <w:u w:val="single"/>
                <w:shd w:val="clear" w:fill="FFFFFF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、平台素材库</w:t>
            </w:r>
          </w:p>
        </w:tc>
        <w:tc>
          <w:tcPr>
            <w:tcW w:w="4601" w:type="dxa"/>
          </w:tcPr>
          <w:p w14:paraId="7C4AA63E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用于生成SILS概念草图、区域风格参考和标识牌文字；帮助确定蓝、紫、绿、橙四色分区与中央广场的整体空间结构。</w:t>
            </w:r>
          </w:p>
        </w:tc>
      </w:tr>
      <w:tr w14:paraId="59DE2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7" w:type="dxa"/>
          </w:tcPr>
          <w:p w14:paraId="3CB1B011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内容制作</w:t>
            </w:r>
          </w:p>
        </w:tc>
        <w:tc>
          <w:tcPr>
            <w:tcW w:w="4064" w:type="dxa"/>
          </w:tcPr>
          <w:p w14:paraId="6ACC0322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AI文案工具、AI图片工具、、3D素材库</w:t>
            </w:r>
          </w:p>
        </w:tc>
        <w:tc>
          <w:tcPr>
            <w:tcW w:w="4601" w:type="dxa"/>
          </w:tcPr>
          <w:p w14:paraId="7E08D94C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用于快速生成区域说明、功能提示、任务脚本、展示海报和讲解稿，使空间不仅有模型摆放，也有清晰的学习任务和解说逻辑。</w:t>
            </w:r>
          </w:p>
        </w:tc>
      </w:tr>
      <w:tr w14:paraId="2861C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7" w:type="dxa"/>
          </w:tcPr>
          <w:p w14:paraId="5727A99B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测试优化</w:t>
            </w:r>
          </w:p>
        </w:tc>
        <w:tc>
          <w:tcPr>
            <w:tcW w:w="4064" w:type="dxa"/>
          </w:tcPr>
          <w:p w14:paraId="690D0765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模拟用户、协作文档</w:t>
            </w:r>
          </w:p>
        </w:tc>
        <w:tc>
          <w:tcPr>
            <w:tcW w:w="4601" w:type="dxa"/>
          </w:tcPr>
          <w:p w14:paraId="10831457">
            <w:pPr>
              <w:spacing w:before="0" w:after="0"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szCs w:val="24"/>
              </w:rPr>
              <w:t>用于设计测试流程，分别从学生、教师、管理者角度检查空间是否好理解、任务是否清晰、反馈是否及时，并整理迭代建议。</w:t>
            </w:r>
          </w:p>
        </w:tc>
      </w:tr>
    </w:tbl>
    <w:p w14:paraId="3E3A7829">
      <w:pPr>
        <w:pStyle w:val="2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33" w:name="_Toc8495"/>
      <w:r>
        <w:rPr>
          <w:rFonts w:hint="eastAsia" w:ascii="宋体" w:hAnsi="宋体" w:eastAsia="宋体" w:cs="宋体"/>
          <w:sz w:val="28"/>
          <w:szCs w:val="28"/>
        </w:rPr>
        <w:t>八、附录</w:t>
      </w:r>
      <w:bookmarkEnd w:id="33"/>
    </w:p>
    <w:p w14:paraId="272193FB">
      <w:pPr>
        <w:spacing w:before="0" w:after="0"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（1）作品链接：https://edu.delightex.com/Studio/Space/9L8mNHiVs8D58wUu</w:t>
      </w:r>
    </w:p>
    <w:p w14:paraId="4795E0B4">
      <w:pPr>
        <w:spacing w:before="0" w:after="0"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（2）其他相关材料：</w:t>
      </w:r>
    </w:p>
    <w:p w14:paraId="6872A216">
      <w:pPr>
        <w:spacing w:before="0" w:after="0" w:line="360" w:lineRule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1.与AI对话生成素材链接：</w:t>
      </w:r>
    </w:p>
    <w:p w14:paraId="4319663C">
      <w:pPr>
        <w:spacing w:before="0" w:after="0" w:line="360" w:lineRule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https://www.doubao.com/thread/x10cd447601678911aa220a6200653cfa</w:t>
      </w:r>
    </w:p>
    <w:p w14:paraId="6D1BB2C3">
      <w:pPr>
        <w:spacing w:before="0" w:after="0" w:line="360" w:lineRule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2.AI对话链接</w:t>
      </w:r>
    </w:p>
    <w:p w14:paraId="38B1C522">
      <w:pPr>
        <w:spacing w:before="0" w:after="0" w:line="360" w:lineRule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https://chat.deepseek.com/share/ojxqmznv5lzcuj382y</w:t>
      </w:r>
    </w:p>
    <w:p w14:paraId="637B75A9">
      <w:pPr>
        <w:spacing w:before="0" w:after="0"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作品设计草图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 w14:paraId="7C833DC5">
      <w:pPr>
        <w:spacing w:before="0" w:after="0" w:line="360" w:lineRule="auto"/>
        <w:jc w:val="center"/>
      </w:pPr>
      <w:r>
        <w:rPr>
          <w:rFonts w:hint="eastAsia" w:ascii="宋体" w:hAnsi="宋体" w:eastAsia="宋体"/>
          <w:sz w:val="21"/>
          <w:lang w:eastAsia="zh-CN"/>
        </w:rPr>
        <w:drawing>
          <wp:inline distT="0" distB="0" distL="114300" distR="114300">
            <wp:extent cx="2921635" cy="1860550"/>
            <wp:effectExtent l="0" t="0" r="12065" b="6350"/>
            <wp:docPr id="11" name="图片 11" descr="d2841b993fdb523b3caaba8275f2a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841b993fdb523b3caaba8275f2ac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2" w:type="first"/>
      <w:footerReference r:id="rId15" w:type="first"/>
      <w:headerReference r:id="rId11" w:type="default"/>
      <w:footerReference r:id="rId13" w:type="default"/>
      <w:footerReference r:id="rId14" w:type="even"/>
      <w:footnotePr>
        <w:numFmt w:val="decimalEnclosedCircleChinese"/>
      </w:footnotePr>
      <w:pgSz w:w="11906" w:h="16838"/>
      <w:pgMar w:top="1440" w:right="1080" w:bottom="1440" w:left="1080" w:header="851" w:footer="992" w:gutter="0"/>
      <w:pgNumType w:fmt="decimal" w:start="1"/>
      <w:cols w:space="720" w:num="1"/>
      <w:formProt w:val="0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ohit Devanag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iberation Sans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Noto Sans CJK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roman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D21554">
    <w:pPr>
      <w:pStyle w:val="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D7609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7342358"/>
      <w:docPartObj>
        <w:docPartGallery w:val="autotext"/>
      </w:docPartObj>
    </w:sdtPr>
    <w:sdtContent>
      <w:p w14:paraId="7F922796">
        <w:pPr>
          <w:pStyle w:val="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01440265"/>
      <w:docPartObj>
        <w:docPartGallery w:val="autotext"/>
      </w:docPartObj>
    </w:sdtPr>
    <w:sdtContent>
      <w:p w14:paraId="1D5A1643">
        <w:pPr>
          <w:pStyle w:val="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10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63C43">
    <w:pPr>
      <w:pStyle w:val="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2867"/>
      <w:docPartObj>
        <w:docPartGallery w:val="autotext"/>
      </w:docPartObj>
    </w:sdtPr>
    <w:sdtContent>
      <w:p w14:paraId="5EB82ABA">
        <w:pPr>
          <w:pStyle w:val="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10">
    <w:p>
      <w:pPr>
        <w:spacing w:before="0" w:after="0" w:line="276" w:lineRule="auto"/>
      </w:pPr>
      <w:r>
        <w:separator/>
      </w:r>
    </w:p>
  </w:footnote>
  <w:footnote w:type="continuationSeparator" w:id="11">
    <w:p>
      <w:pPr>
        <w:spacing w:before="0" w:after="0" w:line="276" w:lineRule="auto"/>
      </w:pPr>
      <w:r>
        <w:continuationSeparator/>
      </w:r>
    </w:p>
  </w:footnote>
  <w:footnote w:id="0">
    <w:p w14:paraId="1DAAD0B4">
      <w:pPr>
        <w:pStyle w:val="12"/>
        <w:snapToGrid w:val="0"/>
      </w:pPr>
      <w:r>
        <w:rPr>
          <w:rStyle w:val="19"/>
        </w:rPr>
        <w:footnoteRef/>
      </w:r>
      <w:r>
        <w:t xml:space="preserve"> 陈娬.知识建构:认知与技术的融合[J].电化教育研究,2011,(6):15-18+25.</w:t>
      </w:r>
    </w:p>
  </w:footnote>
  <w:footnote w:id="1">
    <w:p w14:paraId="56C0059E">
      <w:pPr>
        <w:pStyle w:val="12"/>
        <w:snapToGrid w:val="0"/>
      </w:pPr>
      <w:r>
        <w:rPr>
          <w:rStyle w:val="19"/>
        </w:rPr>
        <w:footnoteRef/>
      </w:r>
      <w:r>
        <w:t xml:space="preserve"> </w:t>
      </w:r>
      <w:r>
        <w:rPr>
          <w:rFonts w:hint="eastAsia"/>
        </w:rPr>
        <w:t>王陆.虚拟学习社区的社会网络分析[J].中国电化教育,2009,(2):5-11.</w:t>
      </w:r>
    </w:p>
  </w:footnote>
  <w:footnote w:id="2">
    <w:p w14:paraId="4192A905">
      <w:pPr>
        <w:pStyle w:val="12"/>
        <w:snapToGrid w:val="0"/>
      </w:pPr>
      <w:r>
        <w:rPr>
          <w:rStyle w:val="19"/>
        </w:rPr>
        <w:footnoteRef/>
      </w:r>
      <w:r>
        <w:t xml:space="preserve"> Palanci, A., Yılmaz, R. M., &amp; Turan, Z. (2024). Learning analytics in distance education: A systematic review study.</w:t>
      </w:r>
      <w:r>
        <w:rPr>
          <w:rFonts w:hint="default"/>
        </w:rPr>
        <w:t> Education and Information Technologies.</w:t>
      </w:r>
    </w:p>
  </w:footnote>
  <w:footnote w:id="3">
    <w:p w14:paraId="614E1B6D">
      <w:pPr>
        <w:pStyle w:val="12"/>
        <w:snapToGrid w:val="0"/>
      </w:pPr>
      <w:r>
        <w:rPr>
          <w:rStyle w:val="19"/>
        </w:rPr>
        <w:footnoteRef/>
      </w:r>
      <w:r>
        <w:t xml:space="preserve"> </w:t>
      </w:r>
      <w:r>
        <w:rPr>
          <w:rFonts w:hint="eastAsia"/>
        </w:rPr>
        <w:t>张义兵,陈伯栋,Marlene Scardamalia,等.从浅层建构走向深层建构——知识建构理论的发展及其在中国的应用分析[J].电化教育研究,2012,33(9):5-12.</w:t>
      </w:r>
    </w:p>
  </w:footnote>
  <w:footnote w:id="4">
    <w:p w14:paraId="7BC0327D">
      <w:pPr>
        <w:pStyle w:val="12"/>
        <w:snapToGrid w:val="0"/>
      </w:pPr>
      <w:r>
        <w:rPr>
          <w:rStyle w:val="19"/>
        </w:rPr>
        <w:footnoteRef/>
      </w:r>
      <w:r>
        <w:t xml:space="preserve"> </w:t>
      </w:r>
      <w:r>
        <w:rPr>
          <w:rFonts w:hint="eastAsia"/>
        </w:rPr>
        <w:t>陈子健,方毅,张心雨,等.视频学习情境中全过程学习监测的目标、挑战和实践路向[J].中国教育信息化,2025,31(5):109-118.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78D13B"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267889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B6559">
    <w:pPr>
      <w:pStyle w:val="7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FD44D">
    <w:pPr>
      <w:pStyle w:val="7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EE7B3"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2DCF4C"/>
    <w:multiLevelType w:val="multilevel"/>
    <w:tmpl w:val="AB2DCF4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2D98188D"/>
    <w:multiLevelType w:val="multilevel"/>
    <w:tmpl w:val="2D98188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7F746323"/>
    <w:multiLevelType w:val="multilevel"/>
    <w:tmpl w:val="7F74632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documentProtection w:enforcement="0"/>
  <w:defaultTabStop w:val="420"/>
  <w:autoHyphenation/>
  <w:hyphenationZone w:val="0"/>
  <w:displayHorizontalDrawingGridEvery w:val="1"/>
  <w:displayVerticalDrawingGridEvery w:val="1"/>
  <w:noPunctuationKerning w:val="1"/>
  <w:footnotePr>
    <w:footnote w:id="10"/>
    <w:footnote w:id="1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A9B490C"/>
    <w:rsid w:val="1FFE4A72"/>
    <w:rsid w:val="22432092"/>
    <w:rsid w:val="288C7A13"/>
    <w:rsid w:val="3C3D4A0F"/>
    <w:rsid w:val="3E883AD5"/>
    <w:rsid w:val="4877011E"/>
    <w:rsid w:val="4CFD0321"/>
    <w:rsid w:val="4DED6593"/>
    <w:rsid w:val="599C77B2"/>
    <w:rsid w:val="726D3E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bidi w:val="0"/>
      <w:spacing w:before="0" w:after="0" w:line="276" w:lineRule="auto"/>
      <w:jc w:val="both"/>
    </w:pPr>
    <w:rPr>
      <w:rFonts w:ascii="Times New Roman" w:hAnsi="Times New Roman" w:eastAsia="宋体" w:cstheme="minorBidi"/>
      <w:color w:val="auto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outlineLvl w:val="0"/>
    </w:pPr>
    <w:rPr>
      <w:b/>
      <w:bCs/>
      <w:sz w:val="28"/>
    </w:rPr>
  </w:style>
  <w:style w:type="paragraph" w:styleId="3">
    <w:name w:val="heading 2"/>
    <w:basedOn w:val="1"/>
    <w:next w:val="1"/>
    <w:link w:val="21"/>
    <w:unhideWhenUsed/>
    <w:qFormat/>
    <w:uiPriority w:val="9"/>
    <w:pPr>
      <w:spacing w:before="156" w:after="156"/>
      <w:outlineLvl w:val="1"/>
    </w:pPr>
    <w:rPr>
      <w:b/>
      <w:bCs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qFormat/>
    <w:uiPriority w:val="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5">
    <w:name w:val="Body Text"/>
    <w:basedOn w:val="1"/>
    <w:uiPriority w:val="0"/>
    <w:pPr>
      <w:spacing w:before="0" w:after="140" w:line="276" w:lineRule="auto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paragraph" w:styleId="9">
    <w:name w:val="index heading"/>
    <w:basedOn w:val="10"/>
    <w:uiPriority w:val="0"/>
  </w:style>
  <w:style w:type="paragraph" w:customStyle="1" w:styleId="10">
    <w:name w:val="Heading"/>
    <w:basedOn w:val="1"/>
    <w:next w:val="5"/>
    <w:qFormat/>
    <w:uiPriority w:val="0"/>
    <w:pPr>
      <w:keepNext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11">
    <w:name w:val="List"/>
    <w:basedOn w:val="5"/>
    <w:uiPriority w:val="0"/>
    <w:rPr>
      <w:rFonts w:cs="Lohit Devanagari"/>
    </w:rPr>
  </w:style>
  <w:style w:type="paragraph" w:styleId="12">
    <w:name w:val="footnote text"/>
    <w:basedOn w:val="1"/>
    <w:semiHidden/>
    <w:unhideWhenUsed/>
    <w:uiPriority w:val="99"/>
    <w:pPr>
      <w:snapToGrid w:val="0"/>
      <w:jc w:val="left"/>
    </w:pPr>
    <w:rPr>
      <w:sz w:val="18"/>
    </w:rPr>
  </w:style>
  <w:style w:type="paragraph" w:styleId="13">
    <w:name w:val="toc 2"/>
    <w:basedOn w:val="1"/>
    <w:next w:val="1"/>
    <w:autoRedefine/>
    <w:unhideWhenUsed/>
    <w:qFormat/>
    <w:uiPriority w:val="39"/>
    <w:pPr>
      <w:ind w:left="420"/>
    </w:p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footnote reference"/>
    <w:basedOn w:val="16"/>
    <w:semiHidden/>
    <w:unhideWhenUsed/>
    <w:uiPriority w:val="99"/>
    <w:rPr>
      <w:vertAlign w:val="superscript"/>
    </w:rPr>
  </w:style>
  <w:style w:type="character" w:customStyle="1" w:styleId="20">
    <w:name w:val="标题 1 字符"/>
    <w:basedOn w:val="16"/>
    <w:link w:val="2"/>
    <w:qFormat/>
    <w:uiPriority w:val="9"/>
    <w:rPr>
      <w:rFonts w:ascii="Times New Roman" w:hAnsi="Times New Roman" w:eastAsia="宋体"/>
      <w:b/>
      <w:bCs/>
      <w:sz w:val="28"/>
    </w:rPr>
  </w:style>
  <w:style w:type="character" w:customStyle="1" w:styleId="21">
    <w:name w:val="标题 2 字符"/>
    <w:basedOn w:val="16"/>
    <w:link w:val="3"/>
    <w:qFormat/>
    <w:uiPriority w:val="9"/>
    <w:rPr>
      <w:rFonts w:ascii="Times New Roman" w:hAnsi="Times New Roman" w:eastAsia="宋体"/>
      <w:b/>
      <w:bCs/>
      <w:sz w:val="24"/>
    </w:rPr>
  </w:style>
  <w:style w:type="character" w:customStyle="1" w:styleId="22">
    <w:name w:val="页眉 字符"/>
    <w:basedOn w:val="16"/>
    <w:link w:val="7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3">
    <w:name w:val="页脚 字符"/>
    <w:basedOn w:val="16"/>
    <w:link w:val="6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4">
    <w:name w:val="Index Link"/>
    <w:qFormat/>
    <w:uiPriority w:val="0"/>
  </w:style>
  <w:style w:type="paragraph" w:customStyle="1" w:styleId="25">
    <w:name w:val="Index"/>
    <w:basedOn w:val="1"/>
    <w:qFormat/>
    <w:uiPriority w:val="0"/>
    <w:pPr>
      <w:suppressLineNumbers/>
    </w:pPr>
    <w:rPr>
      <w:rFonts w:cs="Lohit Devanagari"/>
    </w:rPr>
  </w:style>
  <w:style w:type="paragraph" w:customStyle="1" w:styleId="26">
    <w:name w:val="Header and Footer"/>
    <w:basedOn w:val="1"/>
    <w:qFormat/>
    <w:uiPriority w:val="0"/>
  </w:style>
  <w:style w:type="paragraph" w:styleId="27">
    <w:name w:val="List Paragraph"/>
    <w:basedOn w:val="1"/>
    <w:qFormat/>
    <w:uiPriority w:val="34"/>
    <w:pPr>
      <w:ind w:firstLine="420"/>
    </w:pPr>
  </w:style>
  <w:style w:type="paragraph" w:styleId="28">
    <w:name w:val="No Spacing"/>
    <w:qFormat/>
    <w:uiPriority w:val="1"/>
    <w:pPr>
      <w:widowControl w:val="0"/>
      <w:suppressAutoHyphens/>
      <w:bidi w:val="0"/>
      <w:spacing w:before="0" w:after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2"/>
      <w:lang w:val="en-US" w:eastAsia="zh-CN" w:bidi="ar-SA"/>
    </w:rPr>
  </w:style>
  <w:style w:type="paragraph" w:customStyle="1" w:styleId="29">
    <w:name w:val="TOC Heading"/>
    <w:basedOn w:val="2"/>
    <w:next w:val="1"/>
    <w:unhideWhenUsed/>
    <w:qFormat/>
    <w:uiPriority w:val="39"/>
    <w:pPr>
      <w:keepNext/>
      <w:keepLines/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0">
    <w:name w:val="Header Left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6.xml"/><Relationship Id="rId14" Type="http://schemas.openxmlformats.org/officeDocument/2006/relationships/footer" Target="footer5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</a:majorFont>
      <a:minorFont>
        <a:latin typeface="等线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6B26A-FB40-4189-AB82-BBBC04A977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2651</Words>
  <Characters>2742</Characters>
  <Paragraphs>225</Paragraphs>
  <TotalTime>0</TotalTime>
  <ScaleCrop>false</ScaleCrop>
  <LinksUpToDate>false</LinksUpToDate>
  <CharactersWithSpaces>2811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2026-06-28T15:08:00Z</dcterms:created>
  <dc:creator>86177</dc:creator>
  <cp:lastModifiedBy>陈银银</cp:lastModifiedBy>
  <dcterms:modified xsi:type="dcterms:W3CDTF">2026-06-29T03:40:12Z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4C889FF90E124569AF11A6C039C96FEE_13</vt:lpwstr>
  </property>
  <property fmtid="{D5CDD505-2E9C-101B-9397-08002B2CF9AE}" pid="3" name="KSOProductBuildVer">
    <vt:lpwstr>2052-12.1.0.24034</vt:lpwstr>
  </property>
  <property fmtid="{D5CDD505-2E9C-101B-9397-08002B2CF9AE}" pid="4" name="KSOTemplateDocerSaveRecord">
    <vt:lpwstr>eyJoZGlkIjoiNmJiZGVjODRiNmQ2ZTA1ZjkyZDRiMmQ3ODlkNGQwMDQiLCJ1c2VySWQiOiIxNTY4OTg5NTMzIn0=</vt:lpwstr>
  </property>
</Properties>
</file>